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75FDB">
      <w:pPr>
        <w:pStyle w:val="12"/>
        <w:spacing w:line="360" w:lineRule="auto"/>
        <w:rPr>
          <w:rFonts w:hint="eastAsia" w:hAnsi="宋体" w:cs="宋体"/>
          <w:color w:val="auto"/>
          <w:spacing w:val="40"/>
          <w:sz w:val="24"/>
          <w:szCs w:val="24"/>
          <w:highlight w:val="none"/>
        </w:rPr>
      </w:pPr>
    </w:p>
    <w:p w14:paraId="46ABD0AE">
      <w:pPr>
        <w:spacing w:line="360" w:lineRule="auto"/>
        <w:rPr>
          <w:color w:val="auto"/>
          <w:highlight w:val="none"/>
        </w:rPr>
      </w:pPr>
    </w:p>
    <w:p w14:paraId="64E275AF">
      <w:pPr>
        <w:spacing w:line="360" w:lineRule="auto"/>
        <w:rPr>
          <w:rFonts w:hint="eastAsia" w:ascii="宋体" w:hAnsi="宋体" w:eastAsia="宋体" w:cs="宋体"/>
          <w:color w:val="auto"/>
          <w:highlight w:val="none"/>
          <w:lang w:val="en-US" w:eastAsia="zh-CN"/>
        </w:rPr>
      </w:pPr>
    </w:p>
    <w:p w14:paraId="7FEF681F">
      <w:pPr>
        <w:spacing w:line="360" w:lineRule="auto"/>
        <w:jc w:val="center"/>
        <w:rPr>
          <w:rFonts w:ascii="宋体" w:hAnsi="宋体" w:cs="宋体"/>
          <w:b/>
          <w:bCs/>
          <w:color w:val="auto"/>
          <w:sz w:val="96"/>
          <w:szCs w:val="96"/>
          <w:highlight w:val="none"/>
        </w:rPr>
      </w:pPr>
      <w:r>
        <w:rPr>
          <w:rFonts w:hint="eastAsia" w:ascii="宋体" w:hAnsi="宋体" w:cs="宋体"/>
          <w:b/>
          <w:bCs/>
          <w:color w:val="auto"/>
          <w:spacing w:val="40"/>
          <w:sz w:val="96"/>
          <w:szCs w:val="96"/>
          <w:highlight w:val="none"/>
        </w:rPr>
        <w:t>遴选文件</w:t>
      </w:r>
    </w:p>
    <w:p w14:paraId="0FF45607">
      <w:pPr>
        <w:spacing w:line="360" w:lineRule="auto"/>
        <w:jc w:val="center"/>
        <w:rPr>
          <w:rFonts w:ascii="宋体" w:hAnsi="宋体" w:cs="宋体"/>
          <w:b/>
          <w:color w:val="auto"/>
          <w:sz w:val="48"/>
          <w:szCs w:val="48"/>
          <w:highlight w:val="none"/>
        </w:rPr>
      </w:pPr>
    </w:p>
    <w:p w14:paraId="046DA3CE">
      <w:pPr>
        <w:spacing w:line="360" w:lineRule="auto"/>
        <w:jc w:val="center"/>
        <w:rPr>
          <w:rFonts w:ascii="宋体" w:hAnsi="宋体" w:cs="宋体"/>
          <w:color w:val="auto"/>
          <w:sz w:val="52"/>
          <w:szCs w:val="52"/>
          <w:highlight w:val="none"/>
        </w:rPr>
      </w:pPr>
    </w:p>
    <w:p w14:paraId="71F104CA">
      <w:pPr>
        <w:pStyle w:val="22"/>
        <w:spacing w:line="360" w:lineRule="auto"/>
        <w:ind w:firstLine="210"/>
        <w:rPr>
          <w:color w:val="auto"/>
          <w:highlight w:val="none"/>
        </w:rPr>
      </w:pPr>
    </w:p>
    <w:p w14:paraId="6860A552">
      <w:pPr>
        <w:spacing w:line="360" w:lineRule="auto"/>
        <w:ind w:firstLine="643" w:firstLineChars="200"/>
        <w:outlineLvl w:val="0"/>
        <w:rPr>
          <w:rFonts w:hint="eastAsia" w:ascii="宋体" w:hAnsi="宋体" w:eastAsia="宋体" w:cs="宋体"/>
          <w:b/>
          <w:bCs/>
          <w:color w:val="auto"/>
          <w:kern w:val="13"/>
          <w:sz w:val="32"/>
          <w:szCs w:val="32"/>
          <w:highlight w:val="none"/>
          <w:lang w:eastAsia="zh-CN"/>
        </w:rPr>
      </w:pPr>
      <w:bookmarkStart w:id="0" w:name="_Toc25403"/>
      <w:bookmarkStart w:id="1" w:name="_Toc13909"/>
      <w:bookmarkStart w:id="2" w:name="_Toc14978"/>
      <w:bookmarkStart w:id="3" w:name="_Toc26981"/>
      <w:r>
        <w:rPr>
          <w:rFonts w:hint="eastAsia" w:ascii="宋体" w:hAnsi="宋体" w:cs="宋体"/>
          <w:b/>
          <w:bCs/>
          <w:color w:val="auto"/>
          <w:kern w:val="13"/>
          <w:sz w:val="32"/>
          <w:szCs w:val="32"/>
          <w:highlight w:val="none"/>
        </w:rPr>
        <w:t>项目编号：</w:t>
      </w:r>
      <w:bookmarkEnd w:id="0"/>
      <w:r>
        <w:rPr>
          <w:rFonts w:hint="eastAsia" w:ascii="宋体" w:hAnsi="宋体" w:cs="宋体"/>
          <w:b/>
          <w:bCs/>
          <w:color w:val="auto"/>
          <w:kern w:val="13"/>
          <w:sz w:val="32"/>
          <w:szCs w:val="32"/>
          <w:highlight w:val="none"/>
          <w:lang w:eastAsia="zh-CN"/>
        </w:rPr>
        <w:t>GZZJ-FG-2026114</w:t>
      </w:r>
      <w:bookmarkEnd w:id="1"/>
      <w:bookmarkEnd w:id="2"/>
      <w:bookmarkEnd w:id="3"/>
    </w:p>
    <w:p w14:paraId="2B9F9EA7">
      <w:pPr>
        <w:spacing w:line="360" w:lineRule="auto"/>
        <w:ind w:left="2310" w:leftChars="306" w:hanging="1667" w:hangingChars="519"/>
        <w:rPr>
          <w:rFonts w:hint="eastAsia" w:ascii="宋体" w:hAnsi="宋体" w:eastAsia="宋体" w:cs="宋体"/>
          <w:b/>
          <w:bCs/>
          <w:color w:val="auto"/>
          <w:kern w:val="13"/>
          <w:sz w:val="32"/>
          <w:szCs w:val="32"/>
          <w:highlight w:val="none"/>
          <w:lang w:val="en-US" w:eastAsia="zh-CN"/>
        </w:rPr>
      </w:pPr>
      <w:r>
        <w:rPr>
          <w:rFonts w:hint="eastAsia" w:ascii="宋体" w:hAnsi="宋体" w:cs="宋体"/>
          <w:b/>
          <w:bCs/>
          <w:color w:val="auto"/>
          <w:kern w:val="13"/>
          <w:sz w:val="32"/>
          <w:szCs w:val="32"/>
          <w:highlight w:val="none"/>
        </w:rPr>
        <w:t>项目名称：</w:t>
      </w:r>
      <w:r>
        <w:rPr>
          <w:rFonts w:hint="eastAsia" w:ascii="宋体" w:hAnsi="宋体" w:cs="宋体"/>
          <w:b/>
          <w:bCs/>
          <w:color w:val="auto"/>
          <w:kern w:val="13"/>
          <w:sz w:val="32"/>
          <w:szCs w:val="32"/>
          <w:highlight w:val="none"/>
          <w:lang w:eastAsia="zh-CN"/>
        </w:rPr>
        <w:t>广州医科大学附属妇女儿童医疗中心增城院区生活垃圾清运服务项目（二次）</w:t>
      </w:r>
    </w:p>
    <w:p w14:paraId="25B6E025">
      <w:pPr>
        <w:spacing w:line="360" w:lineRule="auto"/>
        <w:rPr>
          <w:rFonts w:ascii="宋体" w:hAnsi="宋体" w:cs="宋体"/>
          <w:color w:val="auto"/>
          <w:sz w:val="32"/>
          <w:szCs w:val="32"/>
          <w:highlight w:val="none"/>
        </w:rPr>
      </w:pPr>
    </w:p>
    <w:p w14:paraId="67F5D4BF">
      <w:pPr>
        <w:spacing w:line="360" w:lineRule="auto"/>
        <w:rPr>
          <w:rFonts w:ascii="宋体" w:hAnsi="宋体" w:cs="宋体"/>
          <w:color w:val="auto"/>
          <w:sz w:val="32"/>
          <w:szCs w:val="32"/>
          <w:highlight w:val="none"/>
        </w:rPr>
      </w:pPr>
    </w:p>
    <w:p w14:paraId="41A09566">
      <w:pPr>
        <w:pStyle w:val="6"/>
        <w:spacing w:line="360" w:lineRule="auto"/>
        <w:rPr>
          <w:rFonts w:ascii="宋体" w:hAnsi="宋体" w:cs="宋体"/>
          <w:color w:val="auto"/>
          <w:highlight w:val="none"/>
        </w:rPr>
      </w:pPr>
    </w:p>
    <w:p w14:paraId="79971BAA">
      <w:pPr>
        <w:spacing w:line="360" w:lineRule="auto"/>
        <w:ind w:left="840" w:firstLine="420"/>
        <w:rPr>
          <w:rFonts w:ascii="宋体" w:hAnsi="宋体" w:cs="宋体"/>
          <w:b/>
          <w:bCs/>
          <w:color w:val="auto"/>
          <w:spacing w:val="128"/>
          <w:sz w:val="32"/>
          <w:szCs w:val="32"/>
          <w:highlight w:val="none"/>
        </w:rPr>
      </w:pPr>
    </w:p>
    <w:p w14:paraId="53F59CEA">
      <w:pPr>
        <w:spacing w:line="360" w:lineRule="auto"/>
        <w:ind w:left="0" w:leftChars="0" w:firstLine="833" w:firstLineChars="104"/>
        <w:outlineLvl w:val="0"/>
        <w:rPr>
          <w:rFonts w:ascii="宋体" w:hAnsi="宋体" w:cs="宋体"/>
          <w:b/>
          <w:bCs/>
          <w:color w:val="auto"/>
          <w:kern w:val="13"/>
          <w:sz w:val="32"/>
          <w:szCs w:val="32"/>
          <w:highlight w:val="none"/>
        </w:rPr>
      </w:pPr>
      <w:bookmarkStart w:id="4" w:name="_Toc27140"/>
      <w:bookmarkStart w:id="5" w:name="_Toc31990"/>
      <w:bookmarkStart w:id="6" w:name="_Toc5629"/>
      <w:bookmarkStart w:id="7" w:name="_Toc30415"/>
      <w:r>
        <w:rPr>
          <w:rFonts w:hint="eastAsia" w:ascii="宋体" w:hAnsi="宋体" w:cs="宋体"/>
          <w:b/>
          <w:bCs/>
          <w:color w:val="auto"/>
          <w:spacing w:val="240"/>
          <w:kern w:val="0"/>
          <w:sz w:val="32"/>
          <w:szCs w:val="32"/>
          <w:highlight w:val="none"/>
          <w:fitText w:val="1920" w:id="1235502067"/>
        </w:rPr>
        <w:t>采购</w:t>
      </w:r>
      <w:r>
        <w:rPr>
          <w:rFonts w:hint="eastAsia" w:ascii="宋体" w:hAnsi="宋体" w:cs="宋体"/>
          <w:b/>
          <w:bCs/>
          <w:color w:val="auto"/>
          <w:spacing w:val="0"/>
          <w:kern w:val="0"/>
          <w:sz w:val="32"/>
          <w:szCs w:val="32"/>
          <w:highlight w:val="none"/>
          <w:fitText w:val="1920" w:id="1235502067"/>
        </w:rPr>
        <w:t>人</w:t>
      </w:r>
      <w:r>
        <w:rPr>
          <w:rFonts w:hint="eastAsia" w:ascii="宋体" w:hAnsi="宋体" w:cs="宋体"/>
          <w:b/>
          <w:bCs/>
          <w:color w:val="auto"/>
          <w:kern w:val="13"/>
          <w:sz w:val="32"/>
          <w:szCs w:val="32"/>
          <w:highlight w:val="none"/>
        </w:rPr>
        <w:t>：广州医科大学附属妇女儿童医疗中心</w:t>
      </w:r>
      <w:bookmarkEnd w:id="4"/>
      <w:bookmarkEnd w:id="5"/>
      <w:bookmarkEnd w:id="6"/>
      <w:bookmarkEnd w:id="7"/>
    </w:p>
    <w:p w14:paraId="5CF9505E">
      <w:pPr>
        <w:spacing w:line="360" w:lineRule="auto"/>
        <w:ind w:left="0" w:leftChars="0" w:firstLine="842" w:firstLineChars="262"/>
        <w:rPr>
          <w:rFonts w:hint="default" w:ascii="宋体" w:hAnsi="宋体" w:eastAsia="宋体" w:cs="宋体"/>
          <w:b/>
          <w:bCs/>
          <w:color w:val="auto"/>
          <w:kern w:val="13"/>
          <w:sz w:val="32"/>
          <w:szCs w:val="32"/>
          <w:highlight w:val="none"/>
          <w:lang w:val="en-US" w:eastAsia="zh-CN"/>
        </w:rPr>
      </w:pPr>
      <w:r>
        <w:rPr>
          <w:rFonts w:hint="eastAsia" w:ascii="宋体" w:hAnsi="宋体" w:cs="宋体"/>
          <w:b/>
          <w:bCs/>
          <w:color w:val="auto"/>
          <w:kern w:val="13"/>
          <w:sz w:val="32"/>
          <w:szCs w:val="32"/>
          <w:highlight w:val="none"/>
        </w:rPr>
        <w:t>采购代理机构：</w:t>
      </w:r>
      <w:r>
        <w:rPr>
          <w:rFonts w:hint="eastAsia" w:ascii="宋体" w:hAnsi="宋体" w:cs="宋体"/>
          <w:b/>
          <w:bCs/>
          <w:color w:val="auto"/>
          <w:kern w:val="13"/>
          <w:sz w:val="32"/>
          <w:szCs w:val="32"/>
          <w:highlight w:val="none"/>
          <w:lang w:val="en-US" w:eastAsia="zh-CN"/>
        </w:rPr>
        <w:t>广州中经招标有限公司</w:t>
      </w:r>
    </w:p>
    <w:p w14:paraId="331F3DA5">
      <w:pPr>
        <w:spacing w:line="360" w:lineRule="auto"/>
        <w:jc w:val="center"/>
        <w:rPr>
          <w:rFonts w:ascii="宋体" w:hAnsi="宋体" w:cs="宋体"/>
          <w:b/>
          <w:bCs/>
          <w:color w:val="auto"/>
          <w:kern w:val="13"/>
          <w:sz w:val="32"/>
          <w:szCs w:val="32"/>
          <w:highlight w:val="none"/>
        </w:rPr>
      </w:pPr>
    </w:p>
    <w:p w14:paraId="0CEC9572">
      <w:pPr>
        <w:spacing w:line="360" w:lineRule="auto"/>
        <w:jc w:val="center"/>
        <w:rPr>
          <w:rFonts w:ascii="宋体" w:hAnsi="宋体" w:cs="宋体"/>
          <w:b/>
          <w:bCs/>
          <w:color w:val="auto"/>
          <w:highlight w:val="none"/>
        </w:rPr>
      </w:pPr>
    </w:p>
    <w:p w14:paraId="36FFFF52">
      <w:pPr>
        <w:pStyle w:val="22"/>
        <w:spacing w:line="360" w:lineRule="auto"/>
        <w:ind w:firstLine="0" w:firstLineChars="0"/>
        <w:rPr>
          <w:rFonts w:ascii="宋体" w:hAnsi="宋体" w:cs="宋体"/>
          <w:b/>
          <w:bCs/>
          <w:color w:val="auto"/>
          <w:highlight w:val="none"/>
        </w:rPr>
      </w:pPr>
    </w:p>
    <w:p w14:paraId="041F411A">
      <w:pPr>
        <w:pStyle w:val="22"/>
        <w:spacing w:line="360" w:lineRule="auto"/>
        <w:ind w:firstLine="0" w:firstLineChars="0"/>
        <w:rPr>
          <w:rFonts w:ascii="宋体" w:hAnsi="宋体" w:cs="宋体"/>
          <w:b/>
          <w:bCs/>
          <w:color w:val="auto"/>
          <w:highlight w:val="none"/>
        </w:rPr>
        <w:sectPr>
          <w:headerReference r:id="rId3" w:type="first"/>
          <w:footerReference r:id="rId4" w:type="default"/>
          <w:footerReference r:id="rId5"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0710EB2F">
      <w:pPr>
        <w:spacing w:line="360" w:lineRule="auto"/>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温馨提示</w:t>
      </w:r>
    </w:p>
    <w:p w14:paraId="767AD9FB">
      <w:pPr>
        <w:spacing w:line="360" w:lineRule="auto"/>
        <w:jc w:val="center"/>
        <w:rPr>
          <w:rFonts w:ascii="宋体" w:hAnsi="宋体" w:cs="宋体"/>
          <w:b/>
          <w:bCs/>
          <w:color w:val="auto"/>
          <w:sz w:val="22"/>
          <w:szCs w:val="22"/>
          <w:highlight w:val="none"/>
        </w:rPr>
      </w:pPr>
      <w:r>
        <w:rPr>
          <w:rFonts w:hint="eastAsia" w:ascii="宋体" w:hAnsi="宋体" w:cs="宋体"/>
          <w:b/>
          <w:color w:val="auto"/>
          <w:sz w:val="22"/>
          <w:szCs w:val="22"/>
          <w:highlight w:val="none"/>
        </w:rPr>
        <w:t>（本提示内容非遴选文件的组成部分，仅为善意提醒。如有不一致，以遴选文件为准）</w:t>
      </w:r>
    </w:p>
    <w:p w14:paraId="58154C8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1、潜在参选人须按遴选文件及公告要求报名登记（遴选文件可在</w:t>
      </w:r>
      <w:r>
        <w:rPr>
          <w:rFonts w:hint="eastAsia" w:ascii="宋体" w:hAnsi="宋体" w:cs="宋体"/>
          <w:color w:val="auto"/>
          <w:sz w:val="24"/>
          <w:szCs w:val="24"/>
          <w:highlight w:val="none"/>
          <w:u w:val="single"/>
        </w:rPr>
        <w:t>遴选公告发布的网站</w:t>
      </w:r>
      <w:r>
        <w:rPr>
          <w:rFonts w:hint="eastAsia" w:ascii="宋体" w:hAnsi="宋体" w:cs="宋体"/>
          <w:color w:val="auto"/>
          <w:sz w:val="24"/>
          <w:szCs w:val="24"/>
          <w:highlight w:val="none"/>
        </w:rPr>
        <w:t>上</w:t>
      </w:r>
      <w:r>
        <w:rPr>
          <w:rFonts w:hint="eastAsia" w:ascii="宋体" w:hAnsi="宋体" w:cs="宋体"/>
          <w:color w:val="auto"/>
          <w:sz w:val="24"/>
          <w:szCs w:val="24"/>
          <w:highlight w:val="none"/>
          <w:u w:val="single"/>
        </w:rPr>
        <w:t>自行下载</w:t>
      </w:r>
      <w:r>
        <w:rPr>
          <w:rFonts w:hint="eastAsia" w:ascii="宋体" w:hAnsi="宋体" w:cs="宋体"/>
          <w:color w:val="auto"/>
          <w:sz w:val="24"/>
          <w:szCs w:val="24"/>
          <w:highlight w:val="none"/>
        </w:rPr>
        <w:t>）。</w:t>
      </w:r>
    </w:p>
    <w:p w14:paraId="6DEF352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2、我司启用网上登记进行参选人报名登记，不设线下发售遴选文件。请</w:t>
      </w:r>
      <w:r>
        <w:rPr>
          <w:rFonts w:hint="eastAsia" w:ascii="宋体" w:hAnsi="宋体" w:cs="宋体"/>
          <w:color w:val="auto"/>
          <w:sz w:val="24"/>
          <w:szCs w:val="24"/>
          <w:highlight w:val="none"/>
          <w:lang w:val="en-US" w:eastAsia="zh-CN"/>
        </w:rPr>
        <w:t>进入广州中经招标有限公司网站</w:t>
      </w:r>
      <w:r>
        <w:rPr>
          <w:rFonts w:hint="eastAsia" w:ascii="宋体" w:hAnsi="宋体" w:cs="宋体"/>
          <w:color w:val="auto"/>
          <w:sz w:val="24"/>
          <w:szCs w:val="24"/>
          <w:highlight w:val="none"/>
        </w:rPr>
        <w:t>进行参选人报名登记。</w:t>
      </w:r>
    </w:p>
    <w:p w14:paraId="53E77F9C">
      <w:pPr>
        <w:tabs>
          <w:tab w:val="left" w:pos="851"/>
        </w:tabs>
        <w:spacing w:line="360" w:lineRule="auto"/>
        <w:ind w:left="420" w:hanging="480" w:hangingChars="200"/>
        <w:rPr>
          <w:rFonts w:ascii="宋体" w:hAnsi="宋体" w:cs="宋体"/>
          <w:bCs/>
          <w:color w:val="auto"/>
          <w:sz w:val="24"/>
          <w:szCs w:val="24"/>
          <w:highlight w:val="none"/>
        </w:rPr>
      </w:pPr>
      <w:r>
        <w:rPr>
          <w:rFonts w:hint="eastAsia" w:ascii="宋体" w:hAnsi="宋体" w:cs="宋体"/>
          <w:color w:val="auto"/>
          <w:sz w:val="24"/>
          <w:szCs w:val="24"/>
          <w:highlight w:val="none"/>
        </w:rPr>
        <w:t>3、请仔细检查</w:t>
      </w:r>
      <w:r>
        <w:rPr>
          <w:rFonts w:hint="eastAsia" w:ascii="宋体" w:hAnsi="宋体" w:cs="宋体"/>
          <w:color w:val="auto"/>
          <w:sz w:val="24"/>
          <w:szCs w:val="24"/>
          <w:highlight w:val="none"/>
          <w:lang w:eastAsia="zh-CN"/>
        </w:rPr>
        <w:t>参</w:t>
      </w:r>
      <w:r>
        <w:rPr>
          <w:rFonts w:hint="eastAsia" w:ascii="宋体" w:hAnsi="宋体" w:cs="宋体"/>
          <w:color w:val="auto"/>
          <w:sz w:val="24"/>
          <w:szCs w:val="24"/>
          <w:highlight w:val="none"/>
        </w:rPr>
        <w:t>选文件是否已按遴选文件要求</w:t>
      </w:r>
      <w:r>
        <w:rPr>
          <w:rFonts w:hint="eastAsia" w:ascii="宋体" w:hAnsi="宋体" w:cs="宋体"/>
          <w:bCs/>
          <w:color w:val="auto"/>
          <w:sz w:val="24"/>
          <w:szCs w:val="24"/>
          <w:highlight w:val="none"/>
          <w:u w:val="single"/>
        </w:rPr>
        <w:t>盖章、签字（签章）、签署日期</w:t>
      </w:r>
      <w:r>
        <w:rPr>
          <w:rFonts w:hint="eastAsia" w:ascii="宋体" w:hAnsi="宋体" w:cs="宋体"/>
          <w:bCs/>
          <w:color w:val="auto"/>
          <w:sz w:val="24"/>
          <w:szCs w:val="24"/>
          <w:highlight w:val="none"/>
        </w:rPr>
        <w:t>。</w:t>
      </w:r>
    </w:p>
    <w:p w14:paraId="3278806A">
      <w:pPr>
        <w:tabs>
          <w:tab w:val="left" w:pos="851"/>
        </w:tabs>
        <w:spacing w:line="360" w:lineRule="auto"/>
        <w:ind w:left="420" w:hanging="480" w:hangingChars="200"/>
        <w:rPr>
          <w:rFonts w:ascii="宋体" w:hAnsi="宋体" w:cs="宋体"/>
          <w:color w:val="auto"/>
          <w:sz w:val="24"/>
          <w:szCs w:val="24"/>
          <w:highlight w:val="none"/>
        </w:rPr>
      </w:pPr>
      <w:r>
        <w:rPr>
          <w:rFonts w:hint="eastAsia" w:ascii="宋体" w:hAnsi="宋体" w:cs="宋体"/>
          <w:color w:val="auto"/>
          <w:sz w:val="24"/>
          <w:szCs w:val="24"/>
          <w:highlight w:val="none"/>
        </w:rPr>
        <w:t>4、请正确填写《报价一览表》。多采购包项目请仔细检查采购包号，采购包号与采购包名称必须对应。</w:t>
      </w:r>
    </w:p>
    <w:p w14:paraId="7D840CEE">
      <w:pPr>
        <w:tabs>
          <w:tab w:val="left" w:pos="851"/>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5、中选人须通过</w:t>
      </w:r>
      <w:r>
        <w:rPr>
          <w:rFonts w:hint="eastAsia" w:ascii="宋体" w:hAnsi="宋体" w:cs="宋体"/>
          <w:color w:val="auto"/>
          <w:sz w:val="24"/>
          <w:szCs w:val="24"/>
          <w:highlight w:val="none"/>
          <w:lang w:val="en-US" w:eastAsia="zh-CN"/>
        </w:rPr>
        <w:t>广州中经招标有限公司发送的缴费通知书</w:t>
      </w:r>
      <w:r>
        <w:rPr>
          <w:rFonts w:hint="eastAsia" w:ascii="宋体" w:hAnsi="宋体" w:cs="宋体"/>
          <w:color w:val="auto"/>
          <w:sz w:val="24"/>
          <w:szCs w:val="24"/>
          <w:highlight w:val="none"/>
        </w:rPr>
        <w:t>获取子账号的方式递交中选服务费。</w:t>
      </w:r>
    </w:p>
    <w:p w14:paraId="2CB641B6">
      <w:pPr>
        <w:tabs>
          <w:tab w:val="left" w:pos="851"/>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6、如遴选文件有澄清、修改或者延期的，我司会在相关媒体上发布公告。</w:t>
      </w:r>
    </w:p>
    <w:p w14:paraId="5E878DD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7、如参选人以非独立法人注册的分公司名义代表总公司盖章和签署文件的，须提供总公司的营业执照副本复印件及总公司针对本项目参选的授权书原件。</w:t>
      </w:r>
    </w:p>
    <w:p w14:paraId="125A9CF5">
      <w:pPr>
        <w:spacing w:line="360" w:lineRule="auto"/>
        <w:rPr>
          <w:rFonts w:ascii="宋体" w:hAnsi="宋体" w:cs="宋体"/>
          <w:color w:val="auto"/>
          <w:highlight w:val="none"/>
        </w:rPr>
      </w:pPr>
      <w:r>
        <w:rPr>
          <w:rFonts w:hint="eastAsia" w:ascii="宋体" w:hAnsi="宋体" w:cs="宋体"/>
          <w:color w:val="auto"/>
          <w:sz w:val="24"/>
          <w:szCs w:val="24"/>
          <w:highlight w:val="none"/>
        </w:rPr>
        <w:t>8、采购需求中加注“★”的条款均被视为不可偏离条款，参选人要特别加以注意，必须对此响应并完全满足或优于这些条款，否则若有一项加注“★”的条款未响应或不满足，参选将被否决。采购需求中加注“▲”的条款为重要条款，如不满足将会导致评审时严重扣分。</w:t>
      </w:r>
    </w:p>
    <w:p w14:paraId="40DAB36F">
      <w:pPr>
        <w:spacing w:line="360" w:lineRule="auto"/>
        <w:rPr>
          <w:rFonts w:ascii="宋体" w:hAnsi="宋体" w:cs="宋体"/>
          <w:b/>
          <w:bCs/>
          <w:color w:val="auto"/>
          <w:sz w:val="36"/>
          <w:szCs w:val="36"/>
          <w:highlight w:val="none"/>
        </w:rPr>
      </w:pPr>
      <w:r>
        <w:rPr>
          <w:rFonts w:hint="eastAsia" w:ascii="宋体" w:hAnsi="宋体" w:cs="宋体"/>
          <w:b/>
          <w:bCs/>
          <w:color w:val="auto"/>
          <w:sz w:val="36"/>
          <w:szCs w:val="36"/>
          <w:highlight w:val="none"/>
        </w:rPr>
        <w:br w:type="page"/>
      </w:r>
    </w:p>
    <w:p w14:paraId="52D7F249">
      <w:pPr>
        <w:spacing w:line="360" w:lineRule="auto"/>
        <w:jc w:val="center"/>
        <w:rPr>
          <w:rFonts w:ascii="宋体" w:hAnsi="宋体" w:cs="宋体"/>
          <w:color w:val="auto"/>
          <w:highlight w:val="none"/>
        </w:rPr>
      </w:pPr>
      <w:r>
        <w:rPr>
          <w:rFonts w:hint="eastAsia" w:ascii="宋体" w:hAnsi="宋体" w:cs="宋体"/>
          <w:b/>
          <w:bCs/>
          <w:color w:val="auto"/>
          <w:sz w:val="36"/>
          <w:szCs w:val="36"/>
          <w:highlight w:val="none"/>
        </w:rPr>
        <w:t>目  录</w:t>
      </w:r>
    </w:p>
    <w:p w14:paraId="2D7EB3A4">
      <w:pPr>
        <w:pStyle w:val="17"/>
        <w:keepNext w:val="0"/>
        <w:keepLines w:val="0"/>
        <w:pageBreakBefore w:val="0"/>
        <w:widowControl/>
        <w:tabs>
          <w:tab w:val="right" w:leader="dot" w:pos="8400"/>
        </w:tabs>
        <w:kinsoku/>
        <w:wordWrap/>
        <w:overflowPunct/>
        <w:topLinePunct w:val="0"/>
        <w:autoSpaceDE/>
        <w:autoSpaceDN/>
        <w:bidi w:val="0"/>
        <w:adjustRightInd/>
        <w:snapToGrid/>
        <w:spacing w:line="480" w:lineRule="auto"/>
        <w:textAlignment w:val="auto"/>
        <w:rPr>
          <w:rFonts w:ascii="宋体" w:hAnsi="宋体" w:cs="宋体"/>
          <w:b/>
          <w:bCs/>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TOC \o "1-2" \h \u </w:instrText>
      </w:r>
      <w:r>
        <w:rPr>
          <w:rFonts w:hint="eastAsia" w:ascii="宋体" w:hAnsi="宋体" w:cs="宋体"/>
          <w:color w:val="auto"/>
          <w:sz w:val="24"/>
          <w:szCs w:val="24"/>
          <w:highlight w:val="none"/>
        </w:rPr>
        <w:fldChar w:fldCharType="separate"/>
      </w:r>
      <w:r>
        <w:rPr>
          <w:color w:val="auto"/>
          <w:sz w:val="24"/>
          <w:szCs w:val="24"/>
          <w:highlight w:val="none"/>
        </w:rPr>
        <w:fldChar w:fldCharType="begin"/>
      </w:r>
      <w:r>
        <w:rPr>
          <w:color w:val="auto"/>
          <w:sz w:val="24"/>
          <w:szCs w:val="24"/>
          <w:highlight w:val="none"/>
        </w:rPr>
        <w:instrText xml:space="preserve"> HYPERLINK \l "_Toc30089" </w:instrText>
      </w:r>
      <w:r>
        <w:rPr>
          <w:color w:val="auto"/>
          <w:sz w:val="24"/>
          <w:szCs w:val="24"/>
          <w:highlight w:val="none"/>
        </w:rPr>
        <w:fldChar w:fldCharType="separate"/>
      </w:r>
      <w:r>
        <w:rPr>
          <w:rFonts w:hint="eastAsia" w:ascii="宋体" w:hAnsi="宋体" w:cs="宋体"/>
          <w:b/>
          <w:bCs/>
          <w:color w:val="auto"/>
          <w:kern w:val="44"/>
          <w:sz w:val="24"/>
          <w:szCs w:val="32"/>
          <w:highlight w:val="none"/>
        </w:rPr>
        <w:t>第一章 参选邀请</w:t>
      </w:r>
      <w:r>
        <w:rPr>
          <w:rFonts w:hint="eastAsia" w:ascii="宋体" w:hAnsi="宋体" w:cs="宋体"/>
          <w:b/>
          <w:bCs/>
          <w:color w:val="auto"/>
          <w:sz w:val="24"/>
          <w:szCs w:val="24"/>
          <w:highlight w:val="none"/>
        </w:rPr>
        <w:tab/>
      </w:r>
      <w:r>
        <w:rPr>
          <w:rFonts w:hint="eastAsia" w:ascii="宋体" w:hAnsi="宋体" w:cs="宋体"/>
          <w:b/>
          <w:bCs/>
          <w:color w:val="auto"/>
          <w:sz w:val="24"/>
          <w:szCs w:val="24"/>
          <w:highlight w:val="none"/>
        </w:rPr>
        <w:fldChar w:fldCharType="begin"/>
      </w:r>
      <w:r>
        <w:rPr>
          <w:rFonts w:hint="eastAsia" w:ascii="宋体" w:hAnsi="宋体" w:cs="宋体"/>
          <w:b/>
          <w:bCs/>
          <w:color w:val="auto"/>
          <w:sz w:val="24"/>
          <w:szCs w:val="24"/>
          <w:highlight w:val="none"/>
        </w:rPr>
        <w:instrText xml:space="preserve"> PAGEREF _Toc30089 \h </w:instrText>
      </w:r>
      <w:r>
        <w:rPr>
          <w:rFonts w:hint="eastAsia" w:ascii="宋体" w:hAnsi="宋体" w:cs="宋体"/>
          <w:b/>
          <w:bCs/>
          <w:color w:val="auto"/>
          <w:sz w:val="24"/>
          <w:szCs w:val="24"/>
          <w:highlight w:val="none"/>
        </w:rPr>
        <w:fldChar w:fldCharType="separate"/>
      </w:r>
      <w:r>
        <w:rPr>
          <w:rFonts w:hint="eastAsia" w:ascii="宋体" w:hAnsi="宋体" w:cs="宋体"/>
          <w:b/>
          <w:bCs/>
          <w:color w:val="auto"/>
          <w:sz w:val="24"/>
          <w:szCs w:val="24"/>
          <w:highlight w:val="none"/>
        </w:rPr>
        <w:t>4</w:t>
      </w:r>
      <w:r>
        <w:rPr>
          <w:rFonts w:hint="eastAsia" w:ascii="宋体" w:hAnsi="宋体" w:cs="宋体"/>
          <w:b/>
          <w:bCs/>
          <w:color w:val="auto"/>
          <w:sz w:val="24"/>
          <w:szCs w:val="24"/>
          <w:highlight w:val="none"/>
        </w:rPr>
        <w:fldChar w:fldCharType="end"/>
      </w:r>
      <w:r>
        <w:rPr>
          <w:rFonts w:hint="eastAsia" w:ascii="宋体" w:hAnsi="宋体" w:cs="宋体"/>
          <w:b/>
          <w:bCs/>
          <w:color w:val="auto"/>
          <w:sz w:val="24"/>
          <w:szCs w:val="24"/>
          <w:highlight w:val="none"/>
        </w:rPr>
        <w:fldChar w:fldCharType="end"/>
      </w:r>
    </w:p>
    <w:p w14:paraId="729C7E1B">
      <w:pPr>
        <w:pStyle w:val="17"/>
        <w:keepNext w:val="0"/>
        <w:keepLines w:val="0"/>
        <w:pageBreakBefore w:val="0"/>
        <w:widowControl/>
        <w:tabs>
          <w:tab w:val="right" w:leader="dot" w:pos="8400"/>
        </w:tabs>
        <w:kinsoku/>
        <w:wordWrap/>
        <w:overflowPunct/>
        <w:topLinePunct w:val="0"/>
        <w:autoSpaceDE/>
        <w:autoSpaceDN/>
        <w:bidi w:val="0"/>
        <w:adjustRightInd/>
        <w:snapToGrid/>
        <w:spacing w:line="480" w:lineRule="auto"/>
        <w:textAlignment w:val="auto"/>
        <w:rPr>
          <w:rFonts w:ascii="宋体" w:hAnsi="宋体" w:cs="宋体"/>
          <w:b/>
          <w:bCs/>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"_Toc10541" </w:instrText>
      </w:r>
      <w:r>
        <w:rPr>
          <w:color w:val="auto"/>
          <w:sz w:val="24"/>
          <w:szCs w:val="24"/>
          <w:highlight w:val="none"/>
        </w:rPr>
        <w:fldChar w:fldCharType="separate"/>
      </w:r>
      <w:r>
        <w:rPr>
          <w:rFonts w:hint="eastAsia" w:ascii="宋体" w:hAnsi="宋体" w:cs="宋体"/>
          <w:b/>
          <w:bCs/>
          <w:color w:val="auto"/>
          <w:sz w:val="24"/>
          <w:szCs w:val="32"/>
          <w:highlight w:val="none"/>
        </w:rPr>
        <w:t>第二章 参选人须知</w:t>
      </w:r>
      <w:r>
        <w:rPr>
          <w:rFonts w:hint="eastAsia" w:ascii="宋体" w:hAnsi="宋体" w:cs="宋体"/>
          <w:b/>
          <w:bCs/>
          <w:color w:val="auto"/>
          <w:sz w:val="24"/>
          <w:szCs w:val="24"/>
          <w:highlight w:val="none"/>
        </w:rPr>
        <w:tab/>
      </w:r>
      <w:r>
        <w:rPr>
          <w:rFonts w:hint="eastAsia" w:ascii="宋体" w:hAnsi="宋体" w:cs="宋体"/>
          <w:b/>
          <w:bCs/>
          <w:color w:val="auto"/>
          <w:sz w:val="24"/>
          <w:szCs w:val="24"/>
          <w:highlight w:val="none"/>
        </w:rPr>
        <w:fldChar w:fldCharType="begin"/>
      </w:r>
      <w:r>
        <w:rPr>
          <w:rFonts w:hint="eastAsia" w:ascii="宋体" w:hAnsi="宋体" w:cs="宋体"/>
          <w:b/>
          <w:bCs/>
          <w:color w:val="auto"/>
          <w:sz w:val="24"/>
          <w:szCs w:val="24"/>
          <w:highlight w:val="none"/>
        </w:rPr>
        <w:instrText xml:space="preserve"> PAGEREF _Toc10541 \h </w:instrText>
      </w:r>
      <w:r>
        <w:rPr>
          <w:rFonts w:hint="eastAsia" w:ascii="宋体" w:hAnsi="宋体" w:cs="宋体"/>
          <w:b/>
          <w:bCs/>
          <w:color w:val="auto"/>
          <w:sz w:val="24"/>
          <w:szCs w:val="24"/>
          <w:highlight w:val="none"/>
        </w:rPr>
        <w:fldChar w:fldCharType="separate"/>
      </w:r>
      <w:r>
        <w:rPr>
          <w:rFonts w:hint="eastAsia" w:ascii="宋体" w:hAnsi="宋体" w:cs="宋体"/>
          <w:b/>
          <w:bCs/>
          <w:color w:val="auto"/>
          <w:sz w:val="24"/>
          <w:szCs w:val="24"/>
          <w:highlight w:val="none"/>
        </w:rPr>
        <w:t>7</w:t>
      </w:r>
      <w:r>
        <w:rPr>
          <w:rFonts w:hint="eastAsia" w:ascii="宋体" w:hAnsi="宋体" w:cs="宋体"/>
          <w:b/>
          <w:bCs/>
          <w:color w:val="auto"/>
          <w:sz w:val="24"/>
          <w:szCs w:val="24"/>
          <w:highlight w:val="none"/>
        </w:rPr>
        <w:fldChar w:fldCharType="end"/>
      </w:r>
      <w:r>
        <w:rPr>
          <w:rFonts w:hint="eastAsia" w:ascii="宋体" w:hAnsi="宋体" w:cs="宋体"/>
          <w:b/>
          <w:bCs/>
          <w:color w:val="auto"/>
          <w:sz w:val="24"/>
          <w:szCs w:val="24"/>
          <w:highlight w:val="none"/>
        </w:rPr>
        <w:fldChar w:fldCharType="end"/>
      </w:r>
    </w:p>
    <w:p w14:paraId="3BBB360F">
      <w:pPr>
        <w:pStyle w:val="17"/>
        <w:keepNext w:val="0"/>
        <w:keepLines w:val="0"/>
        <w:pageBreakBefore w:val="0"/>
        <w:widowControl/>
        <w:tabs>
          <w:tab w:val="right" w:leader="dot" w:pos="8400"/>
        </w:tabs>
        <w:kinsoku/>
        <w:wordWrap/>
        <w:overflowPunct/>
        <w:topLinePunct w:val="0"/>
        <w:autoSpaceDE/>
        <w:autoSpaceDN/>
        <w:bidi w:val="0"/>
        <w:adjustRightInd/>
        <w:snapToGrid/>
        <w:spacing w:line="480" w:lineRule="auto"/>
        <w:textAlignment w:val="auto"/>
        <w:rPr>
          <w:rFonts w:ascii="宋体" w:hAnsi="宋体" w:cs="宋体"/>
          <w:b/>
          <w:bCs/>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"_Toc15542" </w:instrText>
      </w:r>
      <w:r>
        <w:rPr>
          <w:color w:val="auto"/>
          <w:sz w:val="24"/>
          <w:szCs w:val="24"/>
          <w:highlight w:val="none"/>
        </w:rPr>
        <w:fldChar w:fldCharType="separate"/>
      </w:r>
      <w:r>
        <w:rPr>
          <w:rFonts w:hint="eastAsia" w:ascii="宋体" w:hAnsi="宋体" w:cs="宋体"/>
          <w:b/>
          <w:bCs/>
          <w:color w:val="auto"/>
          <w:sz w:val="24"/>
          <w:szCs w:val="32"/>
          <w:highlight w:val="none"/>
        </w:rPr>
        <w:t>第三章 采购需求</w:t>
      </w:r>
      <w:r>
        <w:rPr>
          <w:rFonts w:hint="eastAsia" w:ascii="宋体" w:hAnsi="宋体" w:cs="宋体"/>
          <w:b/>
          <w:bCs/>
          <w:color w:val="auto"/>
          <w:sz w:val="24"/>
          <w:szCs w:val="24"/>
          <w:highlight w:val="none"/>
        </w:rPr>
        <w:tab/>
      </w:r>
      <w:r>
        <w:rPr>
          <w:rFonts w:hint="eastAsia" w:ascii="宋体" w:hAnsi="宋体" w:cs="宋体"/>
          <w:b/>
          <w:bCs/>
          <w:color w:val="auto"/>
          <w:sz w:val="24"/>
          <w:szCs w:val="24"/>
          <w:highlight w:val="none"/>
        </w:rPr>
        <w:fldChar w:fldCharType="begin"/>
      </w:r>
      <w:r>
        <w:rPr>
          <w:rFonts w:hint="eastAsia" w:ascii="宋体" w:hAnsi="宋体" w:cs="宋体"/>
          <w:b/>
          <w:bCs/>
          <w:color w:val="auto"/>
          <w:sz w:val="24"/>
          <w:szCs w:val="24"/>
          <w:highlight w:val="none"/>
        </w:rPr>
        <w:instrText xml:space="preserve"> PAGEREF _Toc15542 \h </w:instrText>
      </w:r>
      <w:r>
        <w:rPr>
          <w:rFonts w:hint="eastAsia" w:ascii="宋体" w:hAnsi="宋体" w:cs="宋体"/>
          <w:b/>
          <w:bCs/>
          <w:color w:val="auto"/>
          <w:sz w:val="24"/>
          <w:szCs w:val="24"/>
          <w:highlight w:val="none"/>
        </w:rPr>
        <w:fldChar w:fldCharType="separate"/>
      </w:r>
      <w:r>
        <w:rPr>
          <w:rFonts w:hint="eastAsia" w:ascii="宋体" w:hAnsi="宋体" w:cs="宋体"/>
          <w:b/>
          <w:bCs/>
          <w:color w:val="auto"/>
          <w:sz w:val="24"/>
          <w:szCs w:val="24"/>
          <w:highlight w:val="none"/>
        </w:rPr>
        <w:t>14</w:t>
      </w:r>
      <w:r>
        <w:rPr>
          <w:rFonts w:hint="eastAsia" w:ascii="宋体" w:hAnsi="宋体" w:cs="宋体"/>
          <w:b/>
          <w:bCs/>
          <w:color w:val="auto"/>
          <w:sz w:val="24"/>
          <w:szCs w:val="24"/>
          <w:highlight w:val="none"/>
        </w:rPr>
        <w:fldChar w:fldCharType="end"/>
      </w:r>
      <w:r>
        <w:rPr>
          <w:rFonts w:hint="eastAsia" w:ascii="宋体" w:hAnsi="宋体" w:cs="宋体"/>
          <w:b/>
          <w:bCs/>
          <w:color w:val="auto"/>
          <w:sz w:val="24"/>
          <w:szCs w:val="24"/>
          <w:highlight w:val="none"/>
        </w:rPr>
        <w:fldChar w:fldCharType="end"/>
      </w:r>
    </w:p>
    <w:p w14:paraId="3FD74928">
      <w:pPr>
        <w:pStyle w:val="17"/>
        <w:keepNext w:val="0"/>
        <w:keepLines w:val="0"/>
        <w:pageBreakBefore w:val="0"/>
        <w:widowControl/>
        <w:tabs>
          <w:tab w:val="right" w:leader="dot" w:pos="8400"/>
        </w:tabs>
        <w:kinsoku/>
        <w:wordWrap/>
        <w:overflowPunct/>
        <w:topLinePunct w:val="0"/>
        <w:autoSpaceDE/>
        <w:autoSpaceDN/>
        <w:bidi w:val="0"/>
        <w:adjustRightInd/>
        <w:snapToGrid/>
        <w:spacing w:line="480" w:lineRule="auto"/>
        <w:textAlignment w:val="auto"/>
        <w:rPr>
          <w:rFonts w:ascii="宋体" w:hAnsi="宋体" w:cs="宋体"/>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"_Toc32221" </w:instrText>
      </w:r>
      <w:r>
        <w:rPr>
          <w:color w:val="auto"/>
          <w:sz w:val="24"/>
          <w:szCs w:val="24"/>
          <w:highlight w:val="none"/>
        </w:rPr>
        <w:fldChar w:fldCharType="separate"/>
      </w:r>
      <w:r>
        <w:rPr>
          <w:rFonts w:hint="eastAsia" w:ascii="宋体" w:hAnsi="宋体" w:cs="宋体"/>
          <w:b/>
          <w:bCs/>
          <w:color w:val="auto"/>
          <w:sz w:val="24"/>
          <w:szCs w:val="32"/>
          <w:highlight w:val="none"/>
        </w:rPr>
        <w:t>第四章 开启、评审和定选</w:t>
      </w:r>
      <w:r>
        <w:rPr>
          <w:rFonts w:hint="eastAsia" w:ascii="宋体" w:hAnsi="宋体" w:cs="宋体"/>
          <w:b/>
          <w:bCs/>
          <w:color w:val="auto"/>
          <w:sz w:val="24"/>
          <w:szCs w:val="24"/>
          <w:highlight w:val="none"/>
        </w:rPr>
        <w:tab/>
      </w:r>
      <w:r>
        <w:rPr>
          <w:rFonts w:hint="eastAsia" w:ascii="宋体" w:hAnsi="宋体" w:cs="宋体"/>
          <w:b/>
          <w:bCs/>
          <w:color w:val="auto"/>
          <w:sz w:val="24"/>
          <w:szCs w:val="24"/>
          <w:highlight w:val="none"/>
        </w:rPr>
        <w:fldChar w:fldCharType="begin"/>
      </w:r>
      <w:r>
        <w:rPr>
          <w:rFonts w:hint="eastAsia" w:ascii="宋体" w:hAnsi="宋体" w:cs="宋体"/>
          <w:b/>
          <w:bCs/>
          <w:color w:val="auto"/>
          <w:sz w:val="24"/>
          <w:szCs w:val="24"/>
          <w:highlight w:val="none"/>
        </w:rPr>
        <w:instrText xml:space="preserve"> PAGEREF _Toc32221 \h </w:instrText>
      </w:r>
      <w:r>
        <w:rPr>
          <w:rFonts w:hint="eastAsia" w:ascii="宋体" w:hAnsi="宋体" w:cs="宋体"/>
          <w:b/>
          <w:bCs/>
          <w:color w:val="auto"/>
          <w:sz w:val="24"/>
          <w:szCs w:val="24"/>
          <w:highlight w:val="none"/>
        </w:rPr>
        <w:fldChar w:fldCharType="separate"/>
      </w:r>
      <w:r>
        <w:rPr>
          <w:rFonts w:hint="eastAsia" w:ascii="宋体" w:hAnsi="宋体" w:cs="宋体"/>
          <w:b/>
          <w:bCs/>
          <w:color w:val="auto"/>
          <w:sz w:val="24"/>
          <w:szCs w:val="24"/>
          <w:highlight w:val="none"/>
        </w:rPr>
        <w:t>14</w:t>
      </w:r>
      <w:r>
        <w:rPr>
          <w:rFonts w:hint="eastAsia" w:ascii="宋体" w:hAnsi="宋体" w:cs="宋体"/>
          <w:b/>
          <w:bCs/>
          <w:color w:val="auto"/>
          <w:sz w:val="24"/>
          <w:szCs w:val="24"/>
          <w:highlight w:val="none"/>
        </w:rPr>
        <w:fldChar w:fldCharType="end"/>
      </w:r>
      <w:r>
        <w:rPr>
          <w:rFonts w:hint="eastAsia" w:ascii="宋体" w:hAnsi="宋体" w:cs="宋体"/>
          <w:b/>
          <w:bCs/>
          <w:color w:val="auto"/>
          <w:sz w:val="24"/>
          <w:szCs w:val="24"/>
          <w:highlight w:val="none"/>
        </w:rPr>
        <w:fldChar w:fldCharType="end"/>
      </w:r>
    </w:p>
    <w:p w14:paraId="1ECA4FEF">
      <w:pPr>
        <w:pStyle w:val="17"/>
        <w:keepNext w:val="0"/>
        <w:keepLines w:val="0"/>
        <w:pageBreakBefore w:val="0"/>
        <w:widowControl/>
        <w:tabs>
          <w:tab w:val="right" w:leader="dot" w:pos="8400"/>
        </w:tabs>
        <w:kinsoku/>
        <w:wordWrap/>
        <w:overflowPunct/>
        <w:topLinePunct w:val="0"/>
        <w:autoSpaceDE/>
        <w:autoSpaceDN/>
        <w:bidi w:val="0"/>
        <w:adjustRightInd/>
        <w:snapToGrid/>
        <w:spacing w:line="480" w:lineRule="auto"/>
        <w:textAlignment w:val="auto"/>
        <w:rPr>
          <w:rFonts w:ascii="宋体" w:hAnsi="宋体" w:cs="宋体"/>
          <w:b/>
          <w:bCs/>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"_Toc28857" </w:instrText>
      </w:r>
      <w:r>
        <w:rPr>
          <w:color w:val="auto"/>
          <w:sz w:val="24"/>
          <w:szCs w:val="24"/>
          <w:highlight w:val="none"/>
        </w:rPr>
        <w:fldChar w:fldCharType="separate"/>
      </w:r>
      <w:r>
        <w:rPr>
          <w:rFonts w:hint="eastAsia" w:ascii="宋体" w:hAnsi="宋体" w:cs="宋体"/>
          <w:b/>
          <w:bCs/>
          <w:color w:val="auto"/>
          <w:sz w:val="24"/>
          <w:szCs w:val="32"/>
          <w:highlight w:val="none"/>
        </w:rPr>
        <w:t>第五章 合同格式</w:t>
      </w:r>
      <w:r>
        <w:rPr>
          <w:rFonts w:hint="eastAsia" w:ascii="宋体" w:hAnsi="宋体" w:cs="宋体"/>
          <w:b/>
          <w:bCs/>
          <w:color w:val="auto"/>
          <w:sz w:val="24"/>
          <w:szCs w:val="24"/>
          <w:highlight w:val="none"/>
        </w:rPr>
        <w:tab/>
      </w:r>
      <w:r>
        <w:rPr>
          <w:rFonts w:hint="eastAsia" w:ascii="宋体" w:hAnsi="宋体" w:cs="宋体"/>
          <w:b/>
          <w:bCs/>
          <w:color w:val="auto"/>
          <w:sz w:val="24"/>
          <w:szCs w:val="24"/>
          <w:highlight w:val="none"/>
        </w:rPr>
        <w:fldChar w:fldCharType="begin"/>
      </w:r>
      <w:r>
        <w:rPr>
          <w:rFonts w:hint="eastAsia" w:ascii="宋体" w:hAnsi="宋体" w:cs="宋体"/>
          <w:b/>
          <w:bCs/>
          <w:color w:val="auto"/>
          <w:sz w:val="24"/>
          <w:szCs w:val="24"/>
          <w:highlight w:val="none"/>
        </w:rPr>
        <w:instrText xml:space="preserve"> PAGEREF _Toc28857 \h </w:instrText>
      </w:r>
      <w:r>
        <w:rPr>
          <w:rFonts w:hint="eastAsia" w:ascii="宋体" w:hAnsi="宋体" w:cs="宋体"/>
          <w:b/>
          <w:bCs/>
          <w:color w:val="auto"/>
          <w:sz w:val="24"/>
          <w:szCs w:val="24"/>
          <w:highlight w:val="none"/>
        </w:rPr>
        <w:fldChar w:fldCharType="separate"/>
      </w:r>
      <w:r>
        <w:rPr>
          <w:rFonts w:hint="eastAsia" w:ascii="宋体" w:hAnsi="宋体" w:cs="宋体"/>
          <w:b/>
          <w:bCs/>
          <w:color w:val="auto"/>
          <w:sz w:val="24"/>
          <w:szCs w:val="24"/>
          <w:highlight w:val="none"/>
        </w:rPr>
        <w:t>30</w:t>
      </w:r>
      <w:r>
        <w:rPr>
          <w:rFonts w:hint="eastAsia" w:ascii="宋体" w:hAnsi="宋体" w:cs="宋体"/>
          <w:b/>
          <w:bCs/>
          <w:color w:val="auto"/>
          <w:sz w:val="24"/>
          <w:szCs w:val="24"/>
          <w:highlight w:val="none"/>
        </w:rPr>
        <w:fldChar w:fldCharType="end"/>
      </w:r>
      <w:r>
        <w:rPr>
          <w:rFonts w:hint="eastAsia" w:ascii="宋体" w:hAnsi="宋体" w:cs="宋体"/>
          <w:b/>
          <w:bCs/>
          <w:color w:val="auto"/>
          <w:sz w:val="24"/>
          <w:szCs w:val="24"/>
          <w:highlight w:val="none"/>
        </w:rPr>
        <w:fldChar w:fldCharType="end"/>
      </w:r>
    </w:p>
    <w:p w14:paraId="64295B78">
      <w:pPr>
        <w:pStyle w:val="17"/>
        <w:keepNext w:val="0"/>
        <w:keepLines w:val="0"/>
        <w:pageBreakBefore w:val="0"/>
        <w:widowControl/>
        <w:tabs>
          <w:tab w:val="right" w:leader="dot" w:pos="8400"/>
        </w:tabs>
        <w:kinsoku/>
        <w:wordWrap/>
        <w:overflowPunct/>
        <w:topLinePunct w:val="0"/>
        <w:autoSpaceDE/>
        <w:autoSpaceDN/>
        <w:bidi w:val="0"/>
        <w:adjustRightInd/>
        <w:snapToGrid/>
        <w:spacing w:line="480" w:lineRule="auto"/>
        <w:textAlignment w:val="auto"/>
        <w:rPr>
          <w:rFonts w:ascii="宋体" w:hAnsi="宋体" w:cs="宋体"/>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"_Toc18393" </w:instrText>
      </w:r>
      <w:r>
        <w:rPr>
          <w:color w:val="auto"/>
          <w:sz w:val="24"/>
          <w:szCs w:val="24"/>
          <w:highlight w:val="none"/>
        </w:rPr>
        <w:fldChar w:fldCharType="separate"/>
      </w:r>
      <w:r>
        <w:rPr>
          <w:rFonts w:hint="eastAsia" w:ascii="宋体" w:hAnsi="宋体" w:cs="宋体"/>
          <w:b/>
          <w:bCs/>
          <w:color w:val="auto"/>
          <w:sz w:val="24"/>
          <w:szCs w:val="32"/>
          <w:highlight w:val="none"/>
        </w:rPr>
        <w:t>第六章 参选文件格式</w:t>
      </w:r>
      <w:r>
        <w:rPr>
          <w:rFonts w:hint="eastAsia" w:ascii="宋体" w:hAnsi="宋体" w:cs="宋体"/>
          <w:b/>
          <w:bCs/>
          <w:color w:val="auto"/>
          <w:sz w:val="24"/>
          <w:szCs w:val="24"/>
          <w:highlight w:val="none"/>
        </w:rPr>
        <w:tab/>
      </w:r>
      <w:r>
        <w:rPr>
          <w:rFonts w:hint="eastAsia" w:ascii="宋体" w:hAnsi="宋体" w:cs="宋体"/>
          <w:b/>
          <w:bCs/>
          <w:color w:val="auto"/>
          <w:sz w:val="24"/>
          <w:szCs w:val="24"/>
          <w:highlight w:val="none"/>
        </w:rPr>
        <w:fldChar w:fldCharType="begin"/>
      </w:r>
      <w:r>
        <w:rPr>
          <w:rFonts w:hint="eastAsia" w:ascii="宋体" w:hAnsi="宋体" w:cs="宋体"/>
          <w:b/>
          <w:bCs/>
          <w:color w:val="auto"/>
          <w:sz w:val="24"/>
          <w:szCs w:val="24"/>
          <w:highlight w:val="none"/>
        </w:rPr>
        <w:instrText xml:space="preserve"> PAGEREF _Toc18393 \h </w:instrText>
      </w:r>
      <w:r>
        <w:rPr>
          <w:rFonts w:hint="eastAsia" w:ascii="宋体" w:hAnsi="宋体" w:cs="宋体"/>
          <w:b/>
          <w:bCs/>
          <w:color w:val="auto"/>
          <w:sz w:val="24"/>
          <w:szCs w:val="24"/>
          <w:highlight w:val="none"/>
        </w:rPr>
        <w:fldChar w:fldCharType="separate"/>
      </w:r>
      <w:r>
        <w:rPr>
          <w:rFonts w:hint="eastAsia" w:ascii="宋体" w:hAnsi="宋体" w:cs="宋体"/>
          <w:b/>
          <w:bCs/>
          <w:color w:val="auto"/>
          <w:sz w:val="24"/>
          <w:szCs w:val="24"/>
          <w:highlight w:val="none"/>
        </w:rPr>
        <w:t>39</w:t>
      </w:r>
      <w:r>
        <w:rPr>
          <w:rFonts w:hint="eastAsia" w:ascii="宋体" w:hAnsi="宋体" w:cs="宋体"/>
          <w:b/>
          <w:bCs/>
          <w:color w:val="auto"/>
          <w:sz w:val="24"/>
          <w:szCs w:val="24"/>
          <w:highlight w:val="none"/>
        </w:rPr>
        <w:fldChar w:fldCharType="end"/>
      </w:r>
      <w:r>
        <w:rPr>
          <w:rFonts w:hint="eastAsia" w:ascii="宋体" w:hAnsi="宋体" w:cs="宋体"/>
          <w:b/>
          <w:bCs/>
          <w:color w:val="auto"/>
          <w:sz w:val="24"/>
          <w:szCs w:val="24"/>
          <w:highlight w:val="none"/>
        </w:rPr>
        <w:fldChar w:fldCharType="end"/>
      </w:r>
    </w:p>
    <w:p w14:paraId="38E41230">
      <w:pPr>
        <w:keepNext w:val="0"/>
        <w:keepLines w:val="0"/>
        <w:pageBreakBefore w:val="0"/>
        <w:widowControl/>
        <w:tabs>
          <w:tab w:val="right" w:leader="dot" w:pos="8400"/>
        </w:tabs>
        <w:kinsoku/>
        <w:wordWrap/>
        <w:overflowPunct/>
        <w:topLinePunct w:val="0"/>
        <w:autoSpaceDE/>
        <w:autoSpaceDN/>
        <w:bidi w:val="0"/>
        <w:adjustRightInd/>
        <w:snapToGrid/>
        <w:spacing w:line="480" w:lineRule="auto"/>
        <w:textAlignment w:val="auto"/>
        <w:rPr>
          <w:rFonts w:ascii="宋体" w:hAnsi="宋体" w:cs="宋体"/>
          <w:color w:val="auto"/>
          <w:highlight w:val="none"/>
        </w:rPr>
      </w:pPr>
      <w:r>
        <w:rPr>
          <w:rFonts w:hint="eastAsia" w:ascii="宋体" w:hAnsi="宋体" w:cs="宋体"/>
          <w:color w:val="auto"/>
          <w:sz w:val="24"/>
          <w:szCs w:val="24"/>
          <w:highlight w:val="none"/>
        </w:rPr>
        <w:fldChar w:fldCharType="end"/>
      </w:r>
    </w:p>
    <w:p w14:paraId="2579A66A">
      <w:pPr>
        <w:spacing w:line="360" w:lineRule="auto"/>
        <w:rPr>
          <w:rFonts w:ascii="宋体" w:hAnsi="宋体" w:cs="宋体"/>
          <w:b/>
          <w:bCs/>
          <w:color w:val="auto"/>
          <w:kern w:val="44"/>
          <w:sz w:val="24"/>
          <w:szCs w:val="24"/>
          <w:highlight w:val="none"/>
        </w:rPr>
      </w:pPr>
      <w:bookmarkStart w:id="8" w:name="_Toc508619381"/>
      <w:bookmarkStart w:id="9" w:name="_Toc175644384"/>
      <w:bookmarkStart w:id="10" w:name="_Toc535418280"/>
      <w:bookmarkStart w:id="11" w:name="_Toc511916073"/>
      <w:bookmarkStart w:id="12" w:name="_Toc500260824"/>
      <w:bookmarkStart w:id="13" w:name="_Toc513630903"/>
      <w:bookmarkStart w:id="14" w:name="_Toc475463014"/>
      <w:bookmarkStart w:id="15" w:name="_Toc513112119"/>
      <w:bookmarkStart w:id="16" w:name="_Toc535854310"/>
      <w:bookmarkStart w:id="17" w:name="_Toc478741144"/>
      <w:bookmarkStart w:id="18" w:name="_Toc475462176"/>
      <w:bookmarkStart w:id="19" w:name="_Toc475456313"/>
      <w:bookmarkStart w:id="20" w:name="_Toc20307"/>
      <w:bookmarkStart w:id="21" w:name="_Toc30089"/>
      <w:bookmarkStart w:id="22" w:name="_Toc508036043"/>
      <w:bookmarkStart w:id="23" w:name="_Toc528659857"/>
      <w:r>
        <w:rPr>
          <w:rFonts w:hint="eastAsia" w:ascii="宋体" w:hAnsi="宋体" w:cs="宋体"/>
          <w:b/>
          <w:bCs/>
          <w:color w:val="auto"/>
          <w:kern w:val="44"/>
          <w:sz w:val="24"/>
          <w:szCs w:val="24"/>
          <w:highlight w:val="none"/>
        </w:rPr>
        <w:br w:type="page"/>
      </w:r>
    </w:p>
    <w:p w14:paraId="0B94B2B6">
      <w:pPr>
        <w:pStyle w:val="2"/>
        <w:pageBreakBefore/>
        <w:spacing w:before="0" w:after="0" w:line="360" w:lineRule="auto"/>
        <w:jc w:val="center"/>
        <w:rPr>
          <w:rFonts w:ascii="宋体" w:hAnsi="宋体" w:cs="宋体"/>
          <w:color w:val="auto"/>
          <w:sz w:val="44"/>
          <w:szCs w:val="44"/>
          <w:highlight w:val="none"/>
        </w:rPr>
      </w:pPr>
      <w:bookmarkStart w:id="24" w:name="_Toc1358"/>
      <w:bookmarkStart w:id="25" w:name="_Toc2083"/>
      <w:bookmarkStart w:id="26" w:name="_Toc22539"/>
      <w:bookmarkStart w:id="27" w:name="_Toc17266"/>
      <w:r>
        <w:rPr>
          <w:rFonts w:hint="eastAsia" w:ascii="宋体" w:hAnsi="宋体" w:cs="宋体"/>
          <w:color w:val="auto"/>
          <w:sz w:val="44"/>
          <w:szCs w:val="44"/>
          <w:highlight w:val="none"/>
        </w:rPr>
        <w:t>第一章  参选邀请</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744335">
      <w:pPr>
        <w:spacing w:line="360" w:lineRule="auto"/>
        <w:ind w:firstLine="472" w:firstLineChars="225"/>
        <w:jc w:val="both"/>
        <w:rPr>
          <w:rFonts w:ascii="宋体" w:hAnsi="宋体" w:cs="宋体"/>
          <w:color w:val="auto"/>
          <w:highlight w:val="none"/>
        </w:rPr>
      </w:pPr>
      <w:r>
        <w:rPr>
          <w:rFonts w:hint="eastAsia" w:ascii="宋体" w:hAnsi="宋体" w:cs="宋体"/>
          <w:color w:val="auto"/>
          <w:highlight w:val="none"/>
        </w:rPr>
        <w:t>广州中经招标有限公司（以下简称“采购代理机构”）受广州医科大学附属妇女儿童医疗中心(以下简称“采购人”)的委托，就以下采购项目进行遴选，邀请符合资格要求的参选人参与。有关事项如下：</w:t>
      </w:r>
    </w:p>
    <w:p w14:paraId="4795F458">
      <w:pPr>
        <w:numPr>
          <w:ilvl w:val="0"/>
          <w:numId w:val="0"/>
        </w:numPr>
        <w:spacing w:line="360" w:lineRule="auto"/>
        <w:ind w:left="560" w:leftChars="255" w:hanging="25" w:hangingChars="12"/>
        <w:jc w:val="both"/>
        <w:outlineLvl w:val="1"/>
        <w:rPr>
          <w:rFonts w:ascii="宋体" w:hAnsi="宋体" w:cs="宋体"/>
          <w:b/>
          <w:bCs/>
          <w:color w:val="auto"/>
          <w:highlight w:val="none"/>
        </w:rPr>
      </w:pPr>
      <w:bookmarkStart w:id="28" w:name="_Toc23770"/>
      <w:bookmarkStart w:id="29" w:name="_Toc29615"/>
      <w:bookmarkStart w:id="30" w:name="_Toc26716"/>
      <w:bookmarkStart w:id="31" w:name="_Toc32342"/>
      <w:r>
        <w:rPr>
          <w:rFonts w:hint="eastAsia" w:ascii="宋体" w:hAnsi="宋体" w:eastAsia="宋体" w:cs="宋体"/>
          <w:b/>
          <w:bCs/>
          <w:color w:val="auto"/>
          <w:sz w:val="21"/>
          <w:szCs w:val="21"/>
          <w:highlight w:val="none"/>
          <w:lang w:val="en-US" w:eastAsia="zh-CN" w:bidi="ar-SA"/>
        </w:rPr>
        <w:t>一、</w:t>
      </w:r>
      <w:r>
        <w:rPr>
          <w:rFonts w:hint="eastAsia" w:ascii="宋体" w:hAnsi="宋体" w:cs="宋体"/>
          <w:b/>
          <w:bCs/>
          <w:color w:val="auto"/>
          <w:highlight w:val="none"/>
        </w:rPr>
        <w:t>采购项目简介</w:t>
      </w:r>
      <w:bookmarkEnd w:id="28"/>
      <w:bookmarkEnd w:id="29"/>
      <w:bookmarkEnd w:id="30"/>
      <w:bookmarkEnd w:id="31"/>
    </w:p>
    <w:p w14:paraId="33D11B31">
      <w:pPr>
        <w:numPr>
          <w:ilvl w:val="1"/>
          <w:numId w:val="0"/>
        </w:numPr>
        <w:spacing w:line="360" w:lineRule="auto"/>
        <w:ind w:left="992" w:leftChars="0" w:hanging="567" w:firstLineChars="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（一）</w:t>
      </w:r>
      <w:r>
        <w:rPr>
          <w:rFonts w:hint="eastAsia" w:ascii="宋体" w:hAnsi="宋体" w:cs="宋体"/>
          <w:color w:val="auto"/>
          <w:highlight w:val="none"/>
        </w:rPr>
        <w:t>项目名称：</w:t>
      </w:r>
      <w:r>
        <w:rPr>
          <w:rFonts w:hint="eastAsia" w:ascii="宋体" w:hAnsi="宋体" w:cs="宋体"/>
          <w:color w:val="auto"/>
          <w:highlight w:val="none"/>
          <w:lang w:eastAsia="zh-CN"/>
        </w:rPr>
        <w:t>广州医科大学附属妇女儿童医疗中心增城院区生活垃圾清运服务项目（二次）</w:t>
      </w:r>
    </w:p>
    <w:p w14:paraId="39646A03">
      <w:pPr>
        <w:numPr>
          <w:ilvl w:val="1"/>
          <w:numId w:val="0"/>
        </w:numPr>
        <w:spacing w:line="360" w:lineRule="auto"/>
        <w:ind w:left="992" w:leftChars="0" w:hanging="567" w:firstLineChars="0"/>
        <w:jc w:val="both"/>
        <w:rPr>
          <w:rFonts w:hint="eastAsia" w:ascii="宋体" w:hAnsi="宋体" w:eastAsia="宋体" w:cs="宋体"/>
          <w:color w:val="auto"/>
          <w:highlight w:val="none"/>
          <w:lang w:eastAsia="zh-CN"/>
        </w:rPr>
      </w:pPr>
      <w:r>
        <w:rPr>
          <w:rFonts w:hint="eastAsia" w:ascii="宋体" w:hAnsi="宋体" w:eastAsia="宋体" w:cs="宋体"/>
          <w:color w:val="auto"/>
          <w:sz w:val="21"/>
          <w:szCs w:val="21"/>
          <w:highlight w:val="none"/>
          <w:lang w:val="en-US" w:eastAsia="zh-CN" w:bidi="ar-SA"/>
        </w:rPr>
        <w:t>（二）</w:t>
      </w:r>
      <w:r>
        <w:rPr>
          <w:rFonts w:hint="eastAsia" w:ascii="宋体" w:hAnsi="宋体" w:cs="宋体"/>
          <w:color w:val="auto"/>
          <w:highlight w:val="none"/>
        </w:rPr>
        <w:t>项目编号：</w:t>
      </w:r>
      <w:r>
        <w:rPr>
          <w:rFonts w:hint="eastAsia" w:ascii="宋体" w:hAnsi="宋体" w:cs="宋体"/>
          <w:color w:val="auto"/>
          <w:highlight w:val="none"/>
          <w:lang w:eastAsia="zh-CN"/>
        </w:rPr>
        <w:t>GZZJ-FG-2026114</w:t>
      </w:r>
    </w:p>
    <w:p w14:paraId="632D3B93">
      <w:pPr>
        <w:numPr>
          <w:ilvl w:val="1"/>
          <w:numId w:val="0"/>
        </w:numPr>
        <w:spacing w:line="360" w:lineRule="auto"/>
        <w:ind w:left="0" w:leftChars="0" w:firstLine="425" w:firstLineChars="0"/>
        <w:jc w:val="both"/>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lang w:val="en-US" w:eastAsia="zh-CN" w:bidi="ar-SA"/>
        </w:rPr>
        <w:t>（三）</w:t>
      </w:r>
      <w:r>
        <w:rPr>
          <w:rFonts w:hint="eastAsia" w:ascii="宋体" w:hAnsi="宋体" w:cs="宋体"/>
          <w:color w:val="auto"/>
          <w:highlight w:val="none"/>
        </w:rPr>
        <w:t>项目类别：</w:t>
      </w:r>
      <w:r>
        <w:rPr>
          <w:rFonts w:hint="eastAsia" w:ascii="宋体" w:hAnsi="宋体" w:cs="宋体"/>
          <w:color w:val="auto"/>
          <w:highlight w:val="none"/>
          <w:lang w:val="en-US" w:eastAsia="zh-CN"/>
        </w:rPr>
        <w:t>服务类</w:t>
      </w:r>
    </w:p>
    <w:p w14:paraId="141806D1">
      <w:pPr>
        <w:numPr>
          <w:ilvl w:val="1"/>
          <w:numId w:val="0"/>
        </w:numPr>
        <w:spacing w:line="360" w:lineRule="auto"/>
        <w:ind w:left="0" w:leftChars="0" w:firstLine="425" w:firstLineChars="0"/>
        <w:jc w:val="both"/>
        <w:rPr>
          <w:rFonts w:ascii="宋体" w:hAnsi="宋体" w:cs="宋体"/>
          <w:color w:val="auto"/>
          <w:highlight w:val="none"/>
        </w:rPr>
      </w:pPr>
      <w:r>
        <w:rPr>
          <w:rFonts w:hint="eastAsia" w:ascii="宋体" w:hAnsi="宋体" w:eastAsia="宋体" w:cs="宋体"/>
          <w:color w:val="auto"/>
          <w:sz w:val="21"/>
          <w:szCs w:val="21"/>
          <w:highlight w:val="none"/>
          <w:lang w:val="en-US" w:eastAsia="zh-CN" w:bidi="ar-SA"/>
        </w:rPr>
        <w:t>（四）</w:t>
      </w:r>
      <w:r>
        <w:rPr>
          <w:rFonts w:hint="eastAsia" w:ascii="宋体" w:hAnsi="宋体" w:cs="宋体"/>
          <w:color w:val="auto"/>
          <w:highlight w:val="none"/>
        </w:rPr>
        <w:t>采购预算（最高参选限价）：见第三章采购需求。</w:t>
      </w:r>
    </w:p>
    <w:p w14:paraId="2DC99189">
      <w:pPr>
        <w:numPr>
          <w:ilvl w:val="1"/>
          <w:numId w:val="0"/>
        </w:numPr>
        <w:spacing w:line="360" w:lineRule="auto"/>
        <w:ind w:left="0" w:leftChars="0" w:firstLine="425" w:firstLineChars="0"/>
        <w:jc w:val="both"/>
        <w:rPr>
          <w:rFonts w:ascii="宋体" w:hAnsi="宋体" w:cs="宋体"/>
          <w:color w:val="auto"/>
          <w:highlight w:val="none"/>
        </w:rPr>
      </w:pPr>
      <w:r>
        <w:rPr>
          <w:rFonts w:hint="eastAsia" w:ascii="宋体" w:hAnsi="宋体" w:eastAsia="宋体" w:cs="宋体"/>
          <w:color w:val="auto"/>
          <w:sz w:val="21"/>
          <w:szCs w:val="21"/>
          <w:highlight w:val="none"/>
          <w:lang w:val="en-US" w:eastAsia="zh-CN" w:bidi="ar-SA"/>
        </w:rPr>
        <w:t>（五）</w:t>
      </w:r>
      <w:r>
        <w:rPr>
          <w:rFonts w:hint="eastAsia" w:ascii="宋体" w:hAnsi="宋体" w:cs="宋体"/>
          <w:color w:val="auto"/>
          <w:highlight w:val="none"/>
        </w:rPr>
        <w:t>采购内容及用途：见第三章采购需求。</w:t>
      </w:r>
    </w:p>
    <w:p w14:paraId="52B7B68D">
      <w:pPr>
        <w:numPr>
          <w:ilvl w:val="1"/>
          <w:numId w:val="0"/>
        </w:numPr>
        <w:spacing w:line="360" w:lineRule="auto"/>
        <w:ind w:left="0" w:leftChars="0" w:firstLine="425" w:firstLineChars="0"/>
        <w:jc w:val="both"/>
        <w:rPr>
          <w:rFonts w:ascii="宋体" w:hAnsi="宋体" w:cs="宋体"/>
          <w:color w:val="auto"/>
          <w:highlight w:val="none"/>
        </w:rPr>
      </w:pPr>
      <w:r>
        <w:rPr>
          <w:rFonts w:hint="eastAsia" w:ascii="宋体" w:hAnsi="宋体" w:eastAsia="宋体" w:cs="宋体"/>
          <w:color w:val="auto"/>
          <w:sz w:val="21"/>
          <w:szCs w:val="21"/>
          <w:highlight w:val="none"/>
          <w:lang w:val="en-US" w:eastAsia="zh-CN" w:bidi="ar-SA"/>
        </w:rPr>
        <w:t>（六）</w:t>
      </w:r>
      <w:r>
        <w:rPr>
          <w:rFonts w:hint="eastAsia" w:ascii="宋体" w:hAnsi="宋体" w:cs="宋体"/>
          <w:color w:val="auto"/>
          <w:highlight w:val="none"/>
        </w:rPr>
        <w:t>服务期：见第三章采购需求。</w:t>
      </w:r>
    </w:p>
    <w:p w14:paraId="6F12B1FE">
      <w:pPr>
        <w:numPr>
          <w:ilvl w:val="0"/>
          <w:numId w:val="0"/>
        </w:numPr>
        <w:spacing w:line="360" w:lineRule="auto"/>
        <w:ind w:left="560" w:leftChars="255" w:hanging="25" w:hangingChars="12"/>
        <w:jc w:val="both"/>
        <w:outlineLvl w:val="1"/>
        <w:rPr>
          <w:rFonts w:ascii="宋体" w:hAnsi="宋体" w:cs="宋体"/>
          <w:b/>
          <w:bCs/>
          <w:color w:val="auto"/>
          <w:highlight w:val="none"/>
        </w:rPr>
      </w:pPr>
      <w:bookmarkStart w:id="32" w:name="_Toc17305"/>
      <w:bookmarkStart w:id="33" w:name="_Toc1686"/>
      <w:bookmarkStart w:id="34" w:name="_Toc27148"/>
      <w:bookmarkStart w:id="35" w:name="_Toc9579"/>
      <w:bookmarkStart w:id="36" w:name="_Toc23052"/>
      <w:bookmarkStart w:id="37" w:name="_Toc19203"/>
      <w:r>
        <w:rPr>
          <w:rFonts w:hint="eastAsia" w:ascii="宋体" w:hAnsi="宋体" w:eastAsia="宋体" w:cs="宋体"/>
          <w:b/>
          <w:bCs/>
          <w:color w:val="auto"/>
          <w:sz w:val="21"/>
          <w:szCs w:val="21"/>
          <w:highlight w:val="none"/>
          <w:lang w:val="en-US" w:eastAsia="zh-CN" w:bidi="ar-SA"/>
        </w:rPr>
        <w:t>二、</w:t>
      </w:r>
      <w:r>
        <w:rPr>
          <w:rFonts w:hint="eastAsia" w:ascii="宋体" w:hAnsi="宋体" w:cs="宋体"/>
          <w:b/>
          <w:bCs/>
          <w:color w:val="auto"/>
          <w:highlight w:val="none"/>
        </w:rPr>
        <w:t>参选人资格要求</w:t>
      </w:r>
      <w:bookmarkEnd w:id="32"/>
      <w:bookmarkEnd w:id="33"/>
      <w:bookmarkEnd w:id="34"/>
      <w:bookmarkEnd w:id="35"/>
      <w:bookmarkEnd w:id="36"/>
      <w:bookmarkEnd w:id="37"/>
    </w:p>
    <w:p w14:paraId="419FF837">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1、参选人具备《政府采购法》第二十二条所规定的条件：</w:t>
      </w:r>
    </w:p>
    <w:p w14:paraId="51906D2A">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1.1参选人必须是具有独立承担民事责任能力的在中华人民共和国境内注册的法人或其他组织或自然人（提交有效的营业执照（或事业法人登记证等相关证明）副本复印件）；</w:t>
      </w:r>
    </w:p>
    <w:p w14:paraId="0114F128">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1.2参选人有依法缴纳税收和社会保障资金的良好记录（提供《资格声明函》）。</w:t>
      </w:r>
    </w:p>
    <w:p w14:paraId="3098B143">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1.3参选人具有良好的商业信誉和健全的财务会计制度（提供《资格声明函》）。</w:t>
      </w:r>
    </w:p>
    <w:p w14:paraId="7D509E6B">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1.4参选人具有履行合同所必需的设备和专业技术能力（提供《资格声明函》）。</w:t>
      </w:r>
    </w:p>
    <w:p w14:paraId="2C6D6C72">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1.5参选人参加本次采购活动前三年内，在经营活动中没有重大违法记录（提供《资格声明函》）。重大违法记录，是指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14:paraId="2032DE44">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1.6参选人必须符合法律、行政法规规定的其他条件（提供《资格声明函》）。</w:t>
      </w:r>
    </w:p>
    <w:p w14:paraId="0CBC07A0">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2、本项目不接受联合体参选，不允许分包、转包（提供《资格声明函》）。</w:t>
      </w:r>
    </w:p>
    <w:p w14:paraId="46F74EAE">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3、参选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采购代理机构将于参选截止日当天在“信用中国”网站（www.creditchina.gov.cn）及中国政府采购网(www.ccgp.gov.cn)上查询相关信息。如查询结果未发现失信行为，视为评审时参选人符合本款要求）</w:t>
      </w:r>
    </w:p>
    <w:p w14:paraId="49B5363C">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4、单位负责人为同一人或者存在直接控股、管理关系的不同参选人，不得参加同一合同项下的采购活动。（提供《资格声明函》）</w:t>
      </w:r>
    </w:p>
    <w:p w14:paraId="45DD5067">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5、为采购项目提供整体设计、规范编制或者项目管理、监理、检测等服务的参选人，不得再参加该采购项目的其他采购活动。（提供《资格声明函》）</w:t>
      </w:r>
    </w:p>
    <w:p w14:paraId="0FA5D528">
      <w:pPr>
        <w:pStyle w:val="6"/>
        <w:rPr>
          <w:rFonts w:hint="eastAsia" w:eastAsia="宋体"/>
          <w:color w:val="auto"/>
          <w:highlight w:val="none"/>
          <w:lang w:val="en-US" w:eastAsia="zh-CN"/>
        </w:rPr>
      </w:pPr>
    </w:p>
    <w:p w14:paraId="480AF6A8">
      <w:pPr>
        <w:spacing w:line="360" w:lineRule="auto"/>
        <w:ind w:firstLine="474" w:firstLineChars="225"/>
        <w:jc w:val="both"/>
        <w:outlineLvl w:val="1"/>
        <w:rPr>
          <w:rFonts w:ascii="宋体" w:hAnsi="宋体" w:cs="宋体"/>
          <w:b/>
          <w:bCs/>
          <w:color w:val="auto"/>
          <w:highlight w:val="none"/>
        </w:rPr>
      </w:pPr>
      <w:bookmarkStart w:id="38" w:name="_Toc29704"/>
      <w:bookmarkStart w:id="39" w:name="_Toc8448"/>
      <w:bookmarkStart w:id="40" w:name="_Toc31487"/>
      <w:bookmarkStart w:id="41" w:name="_Toc15177"/>
      <w:r>
        <w:rPr>
          <w:rFonts w:hint="eastAsia" w:ascii="宋体" w:hAnsi="宋体" w:eastAsia="宋体" w:cs="宋体"/>
          <w:b/>
          <w:bCs/>
          <w:color w:val="auto"/>
          <w:sz w:val="21"/>
          <w:szCs w:val="21"/>
          <w:highlight w:val="none"/>
          <w:lang w:val="en-US" w:eastAsia="zh-CN" w:bidi="ar-SA"/>
        </w:rPr>
        <w:t>三、</w:t>
      </w:r>
      <w:r>
        <w:rPr>
          <w:rFonts w:hint="eastAsia" w:ascii="宋体" w:hAnsi="宋体" w:cs="宋体"/>
          <w:b/>
          <w:bCs/>
          <w:color w:val="auto"/>
          <w:highlight w:val="none"/>
        </w:rPr>
        <w:t>登记及获取遴选文件的时间、方式</w:t>
      </w:r>
      <w:bookmarkEnd w:id="38"/>
      <w:bookmarkEnd w:id="39"/>
      <w:bookmarkEnd w:id="40"/>
      <w:bookmarkEnd w:id="41"/>
    </w:p>
    <w:p w14:paraId="5F711215">
      <w:pPr>
        <w:spacing w:line="360" w:lineRule="auto"/>
        <w:ind w:firstLine="472" w:firstLineChars="225"/>
        <w:jc w:val="both"/>
        <w:rPr>
          <w:rFonts w:ascii="宋体" w:hAnsi="宋体" w:cs="宋体"/>
          <w:color w:val="auto"/>
          <w:highlight w:val="none"/>
        </w:rPr>
      </w:pPr>
      <w:r>
        <w:rPr>
          <w:rFonts w:hint="eastAsia" w:ascii="宋体" w:hAnsi="宋体" w:eastAsia="宋体" w:cs="宋体"/>
          <w:color w:val="auto"/>
          <w:sz w:val="21"/>
          <w:szCs w:val="21"/>
          <w:highlight w:val="none"/>
          <w:lang w:val="en-US" w:eastAsia="zh-CN" w:bidi="ar-SA"/>
        </w:rPr>
        <w:t>（一）</w:t>
      </w:r>
      <w:r>
        <w:rPr>
          <w:rFonts w:hint="eastAsia" w:ascii="宋体" w:hAnsi="宋体" w:cs="宋体"/>
          <w:color w:val="auto"/>
          <w:highlight w:val="none"/>
        </w:rPr>
        <w:t>登记及获取遴选文件时间：详见遴选公告。</w:t>
      </w:r>
    </w:p>
    <w:p w14:paraId="1CA490E8">
      <w:pPr>
        <w:spacing w:line="360" w:lineRule="auto"/>
        <w:ind w:firstLine="472" w:firstLineChars="225"/>
        <w:jc w:val="both"/>
        <w:rPr>
          <w:rFonts w:ascii="宋体" w:hAnsi="宋体" w:cs="宋体"/>
          <w:color w:val="auto"/>
          <w:highlight w:val="none"/>
        </w:rPr>
      </w:pPr>
      <w:r>
        <w:rPr>
          <w:rFonts w:hint="eastAsia" w:ascii="宋体" w:hAnsi="宋体" w:eastAsia="宋体" w:cs="宋体"/>
          <w:color w:val="auto"/>
          <w:sz w:val="21"/>
          <w:szCs w:val="21"/>
          <w:highlight w:val="none"/>
          <w:lang w:val="en-US" w:eastAsia="zh-CN" w:bidi="ar-SA"/>
        </w:rPr>
        <w:t>（二）</w:t>
      </w:r>
      <w:r>
        <w:rPr>
          <w:rFonts w:hint="eastAsia" w:ascii="宋体" w:hAnsi="宋体" w:cs="宋体"/>
          <w:color w:val="auto"/>
          <w:highlight w:val="none"/>
        </w:rPr>
        <w:t>上述时间是否有改变，请密切留意变更公告的相关信息。</w:t>
      </w:r>
    </w:p>
    <w:p w14:paraId="168EC3C8">
      <w:pPr>
        <w:spacing w:line="360" w:lineRule="auto"/>
        <w:ind w:firstLine="472" w:firstLineChars="225"/>
        <w:jc w:val="both"/>
        <w:rPr>
          <w:rFonts w:ascii="宋体" w:hAnsi="宋体" w:cs="宋体"/>
          <w:color w:val="auto"/>
          <w:highlight w:val="none"/>
        </w:rPr>
      </w:pPr>
      <w:r>
        <w:rPr>
          <w:rFonts w:hint="eastAsia" w:ascii="宋体" w:hAnsi="宋体" w:eastAsia="宋体" w:cs="宋体"/>
          <w:color w:val="auto"/>
          <w:sz w:val="21"/>
          <w:szCs w:val="21"/>
          <w:highlight w:val="none"/>
          <w:lang w:val="en-US" w:eastAsia="zh-CN" w:bidi="ar-SA"/>
        </w:rPr>
        <w:t>（三）</w:t>
      </w:r>
      <w:r>
        <w:rPr>
          <w:rFonts w:hint="eastAsia" w:ascii="宋体" w:hAnsi="宋体" w:cs="宋体"/>
          <w:color w:val="auto"/>
          <w:highlight w:val="none"/>
        </w:rPr>
        <w:t>登记及获取遴选文件方式：</w:t>
      </w:r>
    </w:p>
    <w:p w14:paraId="7023B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74" w:firstLineChars="225"/>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cs="宋体"/>
          <w:b/>
          <w:color w:val="auto"/>
          <w:highlight w:val="none"/>
          <w:u w:val="single"/>
          <w:lang w:val="en-US" w:eastAsia="zh-CN"/>
        </w:rPr>
        <w:t>1、</w:t>
      </w:r>
      <w:r>
        <w:rPr>
          <w:rFonts w:hint="eastAsia" w:ascii="宋体" w:hAnsi="宋体" w:cs="宋体"/>
          <w:b/>
          <w:color w:val="auto"/>
          <w:highlight w:val="none"/>
          <w:u w:val="single"/>
        </w:rPr>
        <w:t>本项目只接受网上登记：</w:t>
      </w:r>
    </w:p>
    <w:p w14:paraId="39F2E45A">
      <w:pPr>
        <w:keepNext w:val="0"/>
        <w:keepLines w:val="0"/>
        <w:pageBreakBefore w:val="0"/>
        <w:widowControl w:val="0"/>
        <w:kinsoku/>
        <w:wordWrap/>
        <w:overflowPunct/>
        <w:topLinePunct w:val="0"/>
        <w:autoSpaceDE w:val="0"/>
        <w:autoSpaceDN w:val="0"/>
        <w:bidi w:val="0"/>
        <w:adjustRightInd/>
        <w:snapToGrid/>
        <w:spacing w:line="360" w:lineRule="auto"/>
        <w:ind w:left="420" w:leftChars="0" w:firstLine="422" w:firstLineChars="200"/>
        <w:jc w:val="both"/>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cs="宋体"/>
          <w:b/>
          <w:color w:val="auto"/>
          <w:highlight w:val="none"/>
          <w:u w:val="none"/>
        </w:rPr>
        <w:t>本项目采取网上获取遴选文件的方式，潜在参选人可访问</w:t>
      </w:r>
      <w:r>
        <w:rPr>
          <w:rFonts w:hint="eastAsia" w:ascii="宋体" w:hAnsi="宋体" w:cs="宋体"/>
          <w:b/>
          <w:color w:val="auto"/>
          <w:highlight w:val="none"/>
          <w:u w:val="none"/>
          <w:lang w:val="en-US" w:eastAsia="zh-CN"/>
        </w:rPr>
        <w:t>广州中经招标有限公司官网（http://www.gzbidding.cn），</w:t>
      </w:r>
      <w:r>
        <w:rPr>
          <w:rFonts w:hint="eastAsia" w:ascii="宋体" w:hAnsi="宋体" w:eastAsia="宋体" w:cs="宋体"/>
          <w:bCs/>
          <w:color w:val="auto"/>
          <w:kern w:val="0"/>
          <w:sz w:val="21"/>
          <w:szCs w:val="21"/>
          <w:highlight w:val="none"/>
          <w:lang w:val="en-US" w:eastAsia="zh-CN" w:bidi="ar"/>
        </w:rPr>
        <w:t>在</w:t>
      </w:r>
      <w:r>
        <w:rPr>
          <w:rFonts w:hint="eastAsia" w:ascii="宋体" w:hAnsi="宋体" w:cs="宋体"/>
          <w:bCs/>
          <w:color w:val="auto"/>
          <w:kern w:val="0"/>
          <w:sz w:val="21"/>
          <w:szCs w:val="21"/>
          <w:highlight w:val="none"/>
          <w:lang w:val="en-US" w:eastAsia="zh-CN" w:bidi="ar"/>
        </w:rPr>
        <w:t>网站</w:t>
      </w:r>
      <w:r>
        <w:rPr>
          <w:rFonts w:hint="eastAsia" w:ascii="宋体" w:hAnsi="宋体" w:eastAsia="宋体" w:cs="宋体"/>
          <w:bCs/>
          <w:color w:val="auto"/>
          <w:kern w:val="0"/>
          <w:sz w:val="21"/>
          <w:szCs w:val="21"/>
          <w:highlight w:val="none"/>
          <w:lang w:val="en-US" w:eastAsia="zh-CN" w:bidi="ar"/>
        </w:rPr>
        <w:t>右侧“资料下载”栏下载填写《获取项目文件登记表》</w:t>
      </w:r>
      <w:r>
        <w:rPr>
          <w:rFonts w:hint="eastAsia" w:ascii="宋体" w:hAnsi="宋体" w:cs="宋体"/>
          <w:bCs/>
          <w:color w:val="auto"/>
          <w:kern w:val="0"/>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并</w:t>
      </w:r>
      <w:r>
        <w:rPr>
          <w:rFonts w:hint="eastAsia" w:ascii="宋体" w:hAnsi="宋体" w:cs="宋体"/>
          <w:bCs/>
          <w:color w:val="auto"/>
          <w:kern w:val="2"/>
          <w:sz w:val="21"/>
          <w:szCs w:val="21"/>
          <w:highlight w:val="none"/>
          <w:lang w:val="en-US" w:eastAsia="zh-CN" w:bidi="ar"/>
        </w:rPr>
        <w:t>按登记表要求填写</w:t>
      </w:r>
      <w:r>
        <w:rPr>
          <w:rFonts w:hint="eastAsia" w:ascii="宋体" w:hAnsi="宋体" w:eastAsia="宋体" w:cs="宋体"/>
          <w:bCs/>
          <w:color w:val="auto"/>
          <w:kern w:val="2"/>
          <w:sz w:val="21"/>
          <w:szCs w:val="21"/>
          <w:highlight w:val="none"/>
          <w:lang w:val="en-US" w:eastAsia="zh-CN" w:bidi="ar"/>
        </w:rPr>
        <w:t>公司联系人、联系电话、电子邮箱、所投项目名称、项目编号、参投包组号</w:t>
      </w:r>
      <w:r>
        <w:rPr>
          <w:rFonts w:hint="eastAsia" w:ascii="宋体" w:hAnsi="宋体" w:cs="宋体"/>
          <w:bCs/>
          <w:color w:val="auto"/>
          <w:kern w:val="2"/>
          <w:sz w:val="21"/>
          <w:szCs w:val="21"/>
          <w:highlight w:val="none"/>
          <w:lang w:val="en-US" w:eastAsia="zh-CN" w:bidi="ar"/>
        </w:rPr>
        <w:t>等相关信息，</w:t>
      </w:r>
      <w:r>
        <w:rPr>
          <w:rFonts w:hint="eastAsia" w:ascii="宋体" w:hAnsi="宋体" w:eastAsia="宋体" w:cs="宋体"/>
          <w:bCs/>
          <w:color w:val="auto"/>
          <w:kern w:val="2"/>
          <w:sz w:val="21"/>
          <w:szCs w:val="21"/>
          <w:highlight w:val="none"/>
          <w:lang w:val="en-US" w:eastAsia="zh-CN" w:bidi="ar"/>
        </w:rPr>
        <w:t>将加盖公章</w:t>
      </w:r>
      <w:r>
        <w:rPr>
          <w:rFonts w:hint="eastAsia" w:ascii="宋体" w:hAnsi="宋体" w:cs="宋体"/>
          <w:bCs/>
          <w:color w:val="auto"/>
          <w:kern w:val="2"/>
          <w:sz w:val="21"/>
          <w:szCs w:val="21"/>
          <w:highlight w:val="none"/>
          <w:lang w:val="en-US" w:eastAsia="zh-CN" w:bidi="ar"/>
        </w:rPr>
        <w:t>的</w:t>
      </w:r>
      <w:r>
        <w:rPr>
          <w:rFonts w:hint="eastAsia" w:ascii="宋体" w:hAnsi="宋体" w:eastAsia="宋体" w:cs="宋体"/>
          <w:bCs/>
          <w:color w:val="auto"/>
          <w:kern w:val="2"/>
          <w:sz w:val="21"/>
          <w:szCs w:val="21"/>
          <w:highlight w:val="none"/>
          <w:lang w:val="en-US" w:eastAsia="zh-CN" w:bidi="ar"/>
        </w:rPr>
        <w:t>《获取项目文件登记表》扫描件发</w:t>
      </w:r>
      <w:r>
        <w:rPr>
          <w:rFonts w:hint="eastAsia" w:ascii="宋体" w:hAnsi="宋体" w:cs="宋体"/>
          <w:bCs/>
          <w:color w:val="auto"/>
          <w:kern w:val="2"/>
          <w:sz w:val="21"/>
          <w:szCs w:val="21"/>
          <w:highlight w:val="none"/>
          <w:lang w:val="en-US" w:eastAsia="zh-CN" w:bidi="ar"/>
        </w:rPr>
        <w:t>送</w:t>
      </w:r>
      <w:r>
        <w:rPr>
          <w:rFonts w:hint="eastAsia" w:ascii="宋体" w:hAnsi="宋体" w:eastAsia="宋体" w:cs="宋体"/>
          <w:bCs/>
          <w:color w:val="auto"/>
          <w:kern w:val="2"/>
          <w:sz w:val="21"/>
          <w:szCs w:val="21"/>
          <w:highlight w:val="none"/>
          <w:lang w:val="en-US" w:eastAsia="zh-CN" w:bidi="ar"/>
        </w:rPr>
        <w:t>至</w:t>
      </w:r>
      <w:r>
        <w:rPr>
          <w:rFonts w:hint="eastAsia" w:ascii="宋体" w:hAnsi="宋体" w:cs="宋体"/>
          <w:bCs/>
          <w:color w:val="auto"/>
          <w:kern w:val="2"/>
          <w:sz w:val="21"/>
          <w:szCs w:val="21"/>
          <w:highlight w:val="none"/>
          <w:lang w:val="en-US" w:eastAsia="zh-CN" w:bidi="ar"/>
        </w:rPr>
        <w:t>指定</w:t>
      </w:r>
      <w:r>
        <w:rPr>
          <w:rFonts w:hint="eastAsia" w:ascii="宋体" w:hAnsi="宋体" w:eastAsia="宋体" w:cs="宋体"/>
          <w:bCs/>
          <w:color w:val="auto"/>
          <w:kern w:val="2"/>
          <w:sz w:val="21"/>
          <w:szCs w:val="21"/>
          <w:highlight w:val="none"/>
          <w:lang w:val="en-US" w:eastAsia="zh-CN" w:bidi="ar"/>
        </w:rPr>
        <w:t>电子邮</w:t>
      </w:r>
      <w:r>
        <w:rPr>
          <w:rFonts w:hint="eastAsia" w:ascii="宋体" w:hAnsi="宋体" w:cs="宋体"/>
          <w:bCs/>
          <w:color w:val="auto"/>
          <w:kern w:val="2"/>
          <w:sz w:val="21"/>
          <w:szCs w:val="21"/>
          <w:highlight w:val="none"/>
          <w:lang w:val="en-US" w:eastAsia="zh-CN" w:bidi="ar"/>
        </w:rPr>
        <w:t>箱：</w:t>
      </w:r>
      <w:r>
        <w:rPr>
          <w:rFonts w:hint="eastAsia" w:ascii="宋体" w:hAnsi="宋体" w:eastAsia="宋体" w:cs="宋体"/>
          <w:bCs/>
          <w:color w:val="auto"/>
          <w:kern w:val="2"/>
          <w:sz w:val="21"/>
          <w:szCs w:val="21"/>
          <w:highlight w:val="none"/>
          <w:lang w:val="en-US" w:eastAsia="zh-CN" w:bidi="ar"/>
        </w:rPr>
        <w:t>gzzjzbyxgs@126.com。如</w:t>
      </w:r>
      <w:r>
        <w:rPr>
          <w:rFonts w:hint="eastAsia" w:ascii="宋体" w:hAnsi="宋体" w:cs="宋体"/>
          <w:bCs/>
          <w:color w:val="auto"/>
          <w:kern w:val="2"/>
          <w:sz w:val="21"/>
          <w:szCs w:val="21"/>
          <w:highlight w:val="none"/>
          <w:lang w:val="en-US" w:eastAsia="zh-CN" w:bidi="ar"/>
        </w:rPr>
        <w:t>因参选人填写</w:t>
      </w:r>
      <w:r>
        <w:rPr>
          <w:rFonts w:hint="eastAsia" w:ascii="宋体" w:hAnsi="宋体" w:eastAsia="宋体" w:cs="宋体"/>
          <w:color w:val="auto"/>
          <w:highlight w:val="none"/>
          <w:lang w:bidi="ar"/>
        </w:rPr>
        <w:t>信息有误</w:t>
      </w:r>
      <w:r>
        <w:rPr>
          <w:rFonts w:hint="eastAsia" w:ascii="宋体" w:hAnsi="宋体" w:eastAsia="宋体" w:cs="宋体"/>
          <w:bCs/>
          <w:color w:val="auto"/>
          <w:kern w:val="2"/>
          <w:sz w:val="21"/>
          <w:szCs w:val="21"/>
          <w:highlight w:val="none"/>
          <w:lang w:val="en-US" w:eastAsia="zh-CN" w:bidi="ar"/>
        </w:rPr>
        <w:t>导致获取</w:t>
      </w:r>
      <w:r>
        <w:rPr>
          <w:rFonts w:hint="eastAsia" w:ascii="宋体" w:hAnsi="宋体" w:eastAsia="宋体" w:cs="宋体"/>
          <w:color w:val="auto"/>
          <w:kern w:val="2"/>
          <w:sz w:val="21"/>
          <w:szCs w:val="24"/>
          <w:highlight w:val="none"/>
          <w:lang w:val="en-US" w:eastAsia="zh-CN" w:bidi="ar"/>
        </w:rPr>
        <w:t>遴选文件</w:t>
      </w:r>
      <w:r>
        <w:rPr>
          <w:rFonts w:hint="eastAsia" w:ascii="宋体" w:hAnsi="宋体" w:eastAsia="宋体" w:cs="宋体"/>
          <w:bCs/>
          <w:color w:val="auto"/>
          <w:kern w:val="2"/>
          <w:sz w:val="21"/>
          <w:szCs w:val="21"/>
          <w:highlight w:val="none"/>
          <w:lang w:val="en-US" w:eastAsia="zh-CN" w:bidi="ar"/>
        </w:rPr>
        <w:t>不成功，后果由参选人自行承担。</w:t>
      </w:r>
    </w:p>
    <w:p w14:paraId="01DF40D3">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color w:val="auto"/>
          <w:highlight w:val="none"/>
          <w:lang w:val="en-US" w:eastAsia="zh-CN" w:bidi="ar"/>
        </w:rPr>
        <w:t>2、</w:t>
      </w:r>
      <w:r>
        <w:rPr>
          <w:rFonts w:hint="eastAsia" w:ascii="宋体" w:hAnsi="宋体" w:eastAsia="宋体" w:cs="宋体"/>
          <w:b/>
          <w:bCs/>
          <w:color w:val="auto"/>
          <w:highlight w:val="none"/>
          <w:lang w:val="en-US" w:eastAsia="zh-CN" w:bidi="ar"/>
        </w:rPr>
        <w:t>获取遴选文件的方式：由采购代理机构通过电子邮件发送。</w:t>
      </w:r>
    </w:p>
    <w:p w14:paraId="022B892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eastAsia" w:ascii="宋体" w:hAnsi="宋体" w:cs="宋体"/>
          <w:bCs/>
          <w:color w:val="auto"/>
          <w:kern w:val="2"/>
          <w:sz w:val="21"/>
          <w:szCs w:val="21"/>
          <w:highlight w:val="none"/>
          <w:lang w:val="en-US" w:eastAsia="zh-CN" w:bidi="ar"/>
        </w:rPr>
      </w:pPr>
      <w:r>
        <w:rPr>
          <w:rFonts w:hint="eastAsia" w:ascii="宋体" w:hAnsi="宋体" w:cs="宋体"/>
          <w:bCs/>
          <w:color w:val="auto"/>
          <w:kern w:val="2"/>
          <w:sz w:val="21"/>
          <w:szCs w:val="21"/>
          <w:highlight w:val="none"/>
          <w:lang w:val="en-US" w:eastAsia="zh-CN" w:bidi="ar"/>
        </w:rPr>
        <w:t>3、咨询方式：</w:t>
      </w:r>
    </w:p>
    <w:p w14:paraId="70C5188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cs="宋体"/>
          <w:bCs/>
          <w:color w:val="auto"/>
          <w:kern w:val="2"/>
          <w:sz w:val="21"/>
          <w:szCs w:val="21"/>
          <w:highlight w:val="none"/>
          <w:lang w:val="en-US" w:eastAsia="zh-CN" w:bidi="ar"/>
        </w:rPr>
        <w:t>（1）电话：</w:t>
      </w:r>
      <w:r>
        <w:rPr>
          <w:rFonts w:hint="eastAsia" w:ascii="宋体" w:hAnsi="宋体" w:eastAsia="宋体" w:cs="宋体"/>
          <w:bCs/>
          <w:color w:val="auto"/>
          <w:kern w:val="2"/>
          <w:sz w:val="21"/>
          <w:szCs w:val="21"/>
          <w:highlight w:val="none"/>
          <w:lang w:val="en-US" w:eastAsia="zh-CN" w:bidi="ar"/>
        </w:rPr>
        <w:t>020-87385151、020-37639369、020-87371812、020-87372296。</w:t>
      </w:r>
    </w:p>
    <w:p w14:paraId="2F515C0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cs="宋体"/>
          <w:bCs/>
          <w:color w:val="auto"/>
          <w:kern w:val="2"/>
          <w:sz w:val="21"/>
          <w:szCs w:val="21"/>
          <w:highlight w:val="none"/>
          <w:lang w:val="en-US" w:eastAsia="zh-CN" w:bidi="ar"/>
        </w:rPr>
        <w:t>（2）邮箱：</w:t>
      </w:r>
      <w:r>
        <w:rPr>
          <w:color w:val="auto"/>
          <w:highlight w:val="none"/>
        </w:rPr>
        <w:fldChar w:fldCharType="begin"/>
      </w:r>
      <w:r>
        <w:rPr>
          <w:color w:val="auto"/>
          <w:highlight w:val="none"/>
        </w:rPr>
        <w:instrText xml:space="preserve"> HYPERLINK "mailto:gmetb3@163.com" </w:instrText>
      </w:r>
      <w:r>
        <w:rPr>
          <w:color w:val="auto"/>
          <w:highlight w:val="none"/>
        </w:rPr>
        <w:fldChar w:fldCharType="separate"/>
      </w:r>
      <w:r>
        <w:rPr>
          <w:rFonts w:hint="eastAsia" w:ascii="宋体" w:hAnsi="宋体" w:cs="宋体"/>
          <w:color w:val="auto"/>
          <w:highlight w:val="none"/>
          <w:lang w:eastAsia="zh-CN"/>
        </w:rPr>
        <w:t>gzzjzbyxgs@126.com</w:t>
      </w:r>
      <w:r>
        <w:rPr>
          <w:rFonts w:hint="eastAsia" w:ascii="宋体" w:hAnsi="宋体" w:cs="宋体"/>
          <w:color w:val="auto"/>
          <w:highlight w:val="none"/>
        </w:rPr>
        <w:fldChar w:fldCharType="end"/>
      </w:r>
      <w:r>
        <w:rPr>
          <w:rFonts w:hint="eastAsia" w:ascii="宋体" w:hAnsi="宋体" w:cs="宋体"/>
          <w:color w:val="auto"/>
          <w:highlight w:val="none"/>
          <w:lang w:eastAsia="zh-CN"/>
        </w:rPr>
        <w:t>。</w:t>
      </w:r>
    </w:p>
    <w:p w14:paraId="7DE8A3A9">
      <w:pPr>
        <w:keepNext w:val="0"/>
        <w:keepLines w:val="0"/>
        <w:pageBreakBefore w:val="0"/>
        <w:kinsoku/>
        <w:wordWrap/>
        <w:overflowPunct/>
        <w:topLinePunct w:val="0"/>
        <w:bidi w:val="0"/>
        <w:adjustRightInd/>
        <w:snapToGrid/>
        <w:spacing w:line="360" w:lineRule="auto"/>
        <w:ind w:firstLine="472" w:firstLineChars="225"/>
        <w:jc w:val="both"/>
        <w:textAlignment w:val="auto"/>
        <w:rPr>
          <w:rFonts w:ascii="宋体" w:hAnsi="宋体" w:cs="宋体"/>
          <w:color w:val="auto"/>
          <w:highlight w:val="none"/>
        </w:rPr>
      </w:pPr>
      <w:r>
        <w:rPr>
          <w:rFonts w:hint="eastAsia" w:ascii="宋体" w:hAnsi="宋体" w:eastAsia="宋体" w:cs="宋体"/>
          <w:color w:val="auto"/>
          <w:sz w:val="21"/>
          <w:szCs w:val="21"/>
          <w:highlight w:val="none"/>
          <w:lang w:val="en-US" w:eastAsia="zh-CN" w:bidi="ar-SA"/>
        </w:rPr>
        <w:t>（四）</w:t>
      </w:r>
      <w:r>
        <w:rPr>
          <w:rFonts w:hint="eastAsia" w:ascii="宋体" w:hAnsi="宋体" w:cs="宋体"/>
          <w:color w:val="auto"/>
          <w:highlight w:val="none"/>
        </w:rPr>
        <w:t>遴选文件售价：免费。</w:t>
      </w:r>
    </w:p>
    <w:p w14:paraId="28796AF1">
      <w:pPr>
        <w:spacing w:line="360" w:lineRule="auto"/>
        <w:ind w:firstLine="474" w:firstLineChars="225"/>
        <w:jc w:val="both"/>
        <w:outlineLvl w:val="1"/>
        <w:rPr>
          <w:rFonts w:hint="eastAsia" w:ascii="宋体" w:hAnsi="宋体" w:eastAsia="宋体" w:cs="宋体"/>
          <w:b/>
          <w:bCs/>
          <w:color w:val="auto"/>
          <w:sz w:val="21"/>
          <w:szCs w:val="21"/>
          <w:highlight w:val="none"/>
          <w:lang w:val="en-US" w:eastAsia="zh-CN" w:bidi="ar-SA"/>
        </w:rPr>
      </w:pPr>
      <w:bookmarkStart w:id="42" w:name="_Toc20496"/>
      <w:bookmarkStart w:id="43" w:name="_Toc3706"/>
      <w:bookmarkStart w:id="44" w:name="_Toc25136"/>
    </w:p>
    <w:p w14:paraId="7779F376">
      <w:pPr>
        <w:spacing w:line="360" w:lineRule="auto"/>
        <w:ind w:firstLine="474" w:firstLineChars="225"/>
        <w:jc w:val="both"/>
        <w:outlineLvl w:val="1"/>
        <w:rPr>
          <w:rFonts w:ascii="宋体" w:hAnsi="宋体" w:cs="宋体"/>
          <w:b/>
          <w:bCs/>
          <w:color w:val="auto"/>
          <w:highlight w:val="none"/>
        </w:rPr>
      </w:pPr>
      <w:bookmarkStart w:id="45" w:name="_Toc13607"/>
      <w:bookmarkStart w:id="46" w:name="_Toc3146"/>
      <w:bookmarkStart w:id="47" w:name="_Toc21361"/>
      <w:r>
        <w:rPr>
          <w:rFonts w:hint="eastAsia" w:ascii="宋体" w:hAnsi="宋体" w:eastAsia="宋体" w:cs="宋体"/>
          <w:b/>
          <w:bCs/>
          <w:color w:val="auto"/>
          <w:sz w:val="21"/>
          <w:szCs w:val="21"/>
          <w:highlight w:val="none"/>
          <w:lang w:val="en-US" w:eastAsia="zh-CN" w:bidi="ar-SA"/>
        </w:rPr>
        <w:t>四、</w:t>
      </w:r>
      <w:r>
        <w:rPr>
          <w:rFonts w:hint="eastAsia" w:ascii="宋体" w:hAnsi="宋体" w:cs="宋体"/>
          <w:b/>
          <w:bCs/>
          <w:color w:val="auto"/>
          <w:highlight w:val="none"/>
        </w:rPr>
        <w:t>递交</w:t>
      </w:r>
      <w:r>
        <w:rPr>
          <w:rFonts w:hint="eastAsia" w:ascii="宋体" w:hAnsi="宋体" w:cs="宋体"/>
          <w:b/>
          <w:bCs/>
          <w:color w:val="auto"/>
          <w:highlight w:val="none"/>
          <w:u w:val="single"/>
        </w:rPr>
        <w:t>电子</w:t>
      </w:r>
      <w:r>
        <w:rPr>
          <w:rFonts w:hint="eastAsia" w:ascii="宋体" w:hAnsi="宋体" w:cs="宋体"/>
          <w:b/>
          <w:bCs/>
          <w:color w:val="auto"/>
          <w:highlight w:val="none"/>
        </w:rPr>
        <w:t>参选文件起止时间、参选截止及开启时间、开启地点</w:t>
      </w:r>
      <w:bookmarkEnd w:id="42"/>
      <w:bookmarkEnd w:id="43"/>
      <w:bookmarkEnd w:id="44"/>
      <w:bookmarkEnd w:id="45"/>
      <w:bookmarkEnd w:id="46"/>
      <w:bookmarkEnd w:id="47"/>
    </w:p>
    <w:p w14:paraId="534287E9">
      <w:pPr>
        <w:spacing w:line="360" w:lineRule="auto"/>
        <w:ind w:firstLine="472" w:firstLineChars="225"/>
        <w:jc w:val="both"/>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bidi="ar-SA"/>
        </w:rPr>
        <w:t>（1）</w:t>
      </w:r>
      <w:r>
        <w:rPr>
          <w:rFonts w:hint="eastAsia" w:ascii="宋体" w:hAnsi="宋体" w:eastAsia="宋体" w:cs="宋体"/>
          <w:color w:val="auto"/>
          <w:highlight w:val="none"/>
        </w:rPr>
        <w:t>递交</w:t>
      </w:r>
      <w:r>
        <w:rPr>
          <w:rFonts w:hint="eastAsia" w:ascii="宋体" w:hAnsi="宋体" w:eastAsia="宋体" w:cs="宋体"/>
          <w:b/>
          <w:bCs/>
          <w:color w:val="auto"/>
          <w:highlight w:val="none"/>
          <w:u w:val="single"/>
        </w:rPr>
        <w:t>电子</w:t>
      </w:r>
      <w:r>
        <w:rPr>
          <w:rFonts w:hint="eastAsia" w:ascii="宋体" w:hAnsi="宋体" w:eastAsia="宋体" w:cs="宋体"/>
          <w:color w:val="auto"/>
          <w:highlight w:val="none"/>
        </w:rPr>
        <w:t>参选文件起止时间：详见遴选公告</w:t>
      </w:r>
    </w:p>
    <w:p w14:paraId="2E5D336F">
      <w:pPr>
        <w:spacing w:line="360" w:lineRule="auto"/>
        <w:ind w:firstLine="472" w:firstLineChars="225"/>
        <w:jc w:val="both"/>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bidi="ar-SA"/>
        </w:rPr>
        <w:t>（2）</w:t>
      </w:r>
      <w:r>
        <w:rPr>
          <w:rFonts w:hint="eastAsia" w:ascii="宋体" w:hAnsi="宋体" w:eastAsia="宋体" w:cs="宋体"/>
          <w:color w:val="auto"/>
          <w:highlight w:val="none"/>
        </w:rPr>
        <w:t>参选截止及开启时间、开启地点：详见遴选公告</w:t>
      </w:r>
    </w:p>
    <w:p w14:paraId="6A91FC39">
      <w:pPr>
        <w:spacing w:line="360" w:lineRule="auto"/>
        <w:ind w:firstLine="472" w:firstLineChars="225"/>
        <w:jc w:val="both"/>
        <w:rPr>
          <w:rFonts w:hint="eastAsia" w:ascii="宋体" w:hAnsi="宋体" w:eastAsia="宋体" w:cs="宋体"/>
          <w:b/>
          <w:bCs/>
          <w:color w:val="auto"/>
          <w:highlight w:val="none"/>
          <w:u w:val="single"/>
        </w:rPr>
      </w:pPr>
      <w:r>
        <w:rPr>
          <w:rFonts w:hint="eastAsia" w:ascii="宋体" w:hAnsi="宋体" w:eastAsia="宋体" w:cs="宋体"/>
          <w:color w:val="auto"/>
          <w:sz w:val="21"/>
          <w:szCs w:val="21"/>
          <w:highlight w:val="none"/>
          <w:lang w:val="en-US" w:eastAsia="zh-CN" w:bidi="ar-SA"/>
        </w:rPr>
        <w:t>（3）</w:t>
      </w:r>
      <w:r>
        <w:rPr>
          <w:rFonts w:hint="eastAsia" w:ascii="宋体" w:hAnsi="宋体" w:eastAsia="宋体" w:cs="宋体"/>
          <w:color w:val="auto"/>
          <w:highlight w:val="none"/>
        </w:rPr>
        <w:t>参选模式：</w:t>
      </w:r>
      <w:r>
        <w:rPr>
          <w:rFonts w:hint="eastAsia" w:ascii="宋体" w:hAnsi="宋体" w:eastAsia="宋体" w:cs="宋体"/>
          <w:b/>
          <w:bCs/>
          <w:color w:val="auto"/>
          <w:highlight w:val="none"/>
          <w:u w:val="single"/>
        </w:rPr>
        <w:t>电子参选。参选人</w:t>
      </w:r>
      <w:r>
        <w:rPr>
          <w:rFonts w:hint="eastAsia" w:ascii="宋体" w:hAnsi="宋体" w:eastAsia="宋体" w:cs="宋体"/>
          <w:b/>
          <w:bCs/>
          <w:color w:val="auto"/>
          <w:highlight w:val="none"/>
          <w:u w:val="single"/>
          <w:lang w:val="en-US" w:eastAsia="zh-CN"/>
        </w:rPr>
        <w:t>须</w:t>
      </w:r>
      <w:r>
        <w:rPr>
          <w:rFonts w:hint="eastAsia" w:ascii="宋体" w:hAnsi="宋体" w:eastAsia="宋体" w:cs="宋体"/>
          <w:b/>
          <w:bCs/>
          <w:color w:val="auto"/>
          <w:highlight w:val="none"/>
          <w:u w:val="single"/>
        </w:rPr>
        <w:t>于参选截止时间前</w:t>
      </w:r>
      <w:r>
        <w:rPr>
          <w:rFonts w:hint="eastAsia" w:ascii="宋体" w:hAnsi="宋体" w:eastAsia="宋体" w:cs="宋体"/>
          <w:b/>
          <w:bCs/>
          <w:color w:val="auto"/>
          <w:highlight w:val="none"/>
          <w:u w:val="single"/>
          <w:lang w:val="en-US" w:eastAsia="zh-CN"/>
        </w:rPr>
        <w:t>提交</w:t>
      </w:r>
      <w:r>
        <w:rPr>
          <w:rFonts w:hint="eastAsia" w:ascii="宋体" w:hAnsi="宋体" w:cs="宋体"/>
          <w:b/>
          <w:bCs/>
          <w:color w:val="auto"/>
          <w:highlight w:val="none"/>
          <w:u w:val="single"/>
          <w:lang w:eastAsia="zh-CN"/>
        </w:rPr>
        <w:t>加盖参选人公章的</w:t>
      </w:r>
      <w:r>
        <w:rPr>
          <w:rFonts w:hint="eastAsia" w:ascii="宋体" w:hAnsi="宋体" w:cs="宋体"/>
          <w:b/>
          <w:bCs/>
          <w:color w:val="auto"/>
          <w:highlight w:val="none"/>
          <w:u w:val="single"/>
          <w:lang w:val="en-US" w:eastAsia="zh-CN"/>
        </w:rPr>
        <w:t>格式为PDF的全彩色扫描</w:t>
      </w:r>
      <w:r>
        <w:rPr>
          <w:rFonts w:hint="eastAsia" w:ascii="宋体" w:hAnsi="宋体" w:eastAsia="宋体" w:cs="宋体"/>
          <w:b/>
          <w:bCs/>
          <w:color w:val="auto"/>
          <w:highlight w:val="none"/>
          <w:u w:val="single"/>
        </w:rPr>
        <w:t>电子参选文件</w:t>
      </w:r>
      <w:r>
        <w:rPr>
          <w:rFonts w:hint="eastAsia" w:ascii="宋体" w:hAnsi="宋体" w:eastAsia="宋体" w:cs="宋体"/>
          <w:b/>
          <w:bCs/>
          <w:color w:val="auto"/>
          <w:highlight w:val="none"/>
          <w:u w:val="single"/>
          <w:lang w:eastAsia="zh-CN"/>
        </w:rPr>
        <w:t>（</w:t>
      </w:r>
      <w:r>
        <w:rPr>
          <w:rFonts w:hint="eastAsia" w:ascii="宋体" w:hAnsi="宋体" w:cs="宋体"/>
          <w:b/>
          <w:bCs/>
          <w:color w:val="auto"/>
          <w:sz w:val="21"/>
          <w:szCs w:val="21"/>
          <w:highlight w:val="none"/>
          <w:u w:val="single"/>
          <w:lang w:val="en-US" w:eastAsia="zh-CN"/>
        </w:rPr>
        <w:t>无病毒无密码、文件未压缩的</w:t>
      </w:r>
      <w:r>
        <w:rPr>
          <w:rFonts w:hint="eastAsia" w:ascii="宋体" w:hAnsi="宋体" w:eastAsia="宋体" w:cs="宋体"/>
          <w:b/>
          <w:bCs/>
          <w:color w:val="auto"/>
          <w:highlight w:val="none"/>
          <w:u w:val="single"/>
          <w:lang w:eastAsia="zh-CN"/>
        </w:rPr>
        <w:t>U盘或光盘）</w:t>
      </w:r>
      <w:r>
        <w:rPr>
          <w:rFonts w:hint="eastAsia" w:ascii="宋体" w:hAnsi="宋体" w:eastAsia="宋体" w:cs="宋体"/>
          <w:b/>
          <w:bCs/>
          <w:color w:val="auto"/>
          <w:highlight w:val="none"/>
          <w:u w:val="single"/>
          <w:lang w:val="en-US" w:eastAsia="zh-CN"/>
        </w:rPr>
        <w:t>。</w:t>
      </w:r>
    </w:p>
    <w:p w14:paraId="5CB6F028">
      <w:pPr>
        <w:numPr>
          <w:ilvl w:val="0"/>
          <w:numId w:val="0"/>
        </w:numPr>
        <w:ind w:firstLine="472" w:firstLineChars="225"/>
        <w:jc w:val="both"/>
        <w:rPr>
          <w:rFonts w:hint="eastAsia" w:ascii="宋体" w:hAnsi="宋体" w:eastAsia="宋体" w:cs="宋体"/>
          <w:color w:val="auto"/>
          <w:highlight w:val="none"/>
        </w:rPr>
      </w:pPr>
      <w:r>
        <w:rPr>
          <w:rFonts w:hint="eastAsia" w:ascii="宋体" w:hAnsi="宋体" w:eastAsia="宋体" w:cs="宋体"/>
          <w:color w:val="auto"/>
          <w:sz w:val="21"/>
          <w:szCs w:val="21"/>
          <w:highlight w:val="none"/>
          <w:lang w:val="en-US" w:eastAsia="zh-CN" w:bidi="ar-SA"/>
        </w:rPr>
        <w:t>（4）</w:t>
      </w:r>
      <w:r>
        <w:rPr>
          <w:rFonts w:hint="eastAsia" w:ascii="宋体" w:hAnsi="宋体" w:eastAsia="宋体" w:cs="宋体"/>
          <w:color w:val="auto"/>
          <w:highlight w:val="none"/>
        </w:rPr>
        <w:t>上述时间和地点是否有改变，请密切留意变更公告的相关信息。</w:t>
      </w:r>
    </w:p>
    <w:p w14:paraId="7BB89AD8">
      <w:pPr>
        <w:spacing w:line="360" w:lineRule="auto"/>
        <w:ind w:firstLine="474" w:firstLineChars="225"/>
        <w:jc w:val="both"/>
        <w:outlineLvl w:val="1"/>
        <w:rPr>
          <w:rFonts w:hint="eastAsia" w:ascii="宋体" w:hAnsi="宋体" w:eastAsia="宋体" w:cs="宋体"/>
          <w:b/>
          <w:bCs/>
          <w:color w:val="auto"/>
          <w:sz w:val="21"/>
          <w:szCs w:val="21"/>
          <w:highlight w:val="none"/>
          <w:lang w:val="en-US" w:eastAsia="zh-CN" w:bidi="ar-SA"/>
        </w:rPr>
      </w:pPr>
      <w:bookmarkStart w:id="48" w:name="_Toc7949"/>
      <w:bookmarkStart w:id="49" w:name="_Toc31058"/>
      <w:bookmarkStart w:id="50" w:name="_Toc2211"/>
    </w:p>
    <w:p w14:paraId="48361B49">
      <w:pPr>
        <w:spacing w:line="360" w:lineRule="auto"/>
        <w:ind w:firstLine="474" w:firstLineChars="225"/>
        <w:jc w:val="both"/>
        <w:outlineLvl w:val="1"/>
        <w:rPr>
          <w:rFonts w:hint="default" w:ascii="宋体" w:hAnsi="宋体" w:eastAsia="宋体" w:cs="宋体"/>
          <w:b/>
          <w:bCs/>
          <w:color w:val="auto"/>
          <w:highlight w:val="none"/>
          <w:lang w:val="en-US" w:eastAsia="zh-CN"/>
        </w:rPr>
      </w:pPr>
      <w:bookmarkStart w:id="51" w:name="_Toc17506"/>
      <w:bookmarkStart w:id="52" w:name="_Toc3435"/>
      <w:bookmarkStart w:id="53" w:name="_Toc8623"/>
      <w:r>
        <w:rPr>
          <w:rFonts w:hint="eastAsia" w:ascii="宋体" w:hAnsi="宋体" w:eastAsia="宋体" w:cs="宋体"/>
          <w:b/>
          <w:bCs/>
          <w:color w:val="auto"/>
          <w:sz w:val="21"/>
          <w:szCs w:val="21"/>
          <w:highlight w:val="none"/>
          <w:lang w:val="en-US" w:eastAsia="zh-CN" w:bidi="ar-SA"/>
        </w:rPr>
        <w:t>五、</w:t>
      </w:r>
      <w:bookmarkEnd w:id="48"/>
      <w:bookmarkEnd w:id="49"/>
      <w:bookmarkEnd w:id="50"/>
      <w:r>
        <w:rPr>
          <w:rFonts w:hint="eastAsia" w:ascii="宋体" w:hAnsi="宋体" w:cs="宋体"/>
          <w:b/>
          <w:bCs/>
          <w:color w:val="auto"/>
          <w:highlight w:val="none"/>
          <w:lang w:val="en-US" w:eastAsia="zh-CN"/>
        </w:rPr>
        <w:t>采购公告发布网站</w:t>
      </w:r>
      <w:bookmarkEnd w:id="51"/>
      <w:bookmarkEnd w:id="52"/>
      <w:bookmarkEnd w:id="53"/>
    </w:p>
    <w:p w14:paraId="289E26B7">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中国招标投标公共服务平台（http://www.cebpubservice.com）</w:t>
      </w:r>
      <w:r>
        <w:rPr>
          <w:rFonts w:hint="eastAsia" w:ascii="宋体" w:hAnsi="宋体" w:cs="宋体"/>
          <w:color w:val="auto"/>
          <w:highlight w:val="none"/>
          <w:lang w:eastAsia="zh-CN"/>
        </w:rPr>
        <w:t>、广州中经招标有限公司官网</w:t>
      </w:r>
      <w:r>
        <w:rPr>
          <w:rFonts w:hint="eastAsia" w:ascii="宋体" w:hAnsi="宋体" w:cs="宋体"/>
          <w:color w:val="auto"/>
          <w:highlight w:val="none"/>
        </w:rPr>
        <w:t>（http://gzbidding.cn）。</w:t>
      </w:r>
    </w:p>
    <w:p w14:paraId="77B0B2C1">
      <w:pPr>
        <w:spacing w:line="360" w:lineRule="auto"/>
        <w:ind w:firstLine="472" w:firstLineChars="225"/>
        <w:jc w:val="both"/>
        <w:rPr>
          <w:rFonts w:hint="eastAsia" w:ascii="宋体" w:hAnsi="宋体" w:cs="宋体"/>
          <w:color w:val="auto"/>
          <w:highlight w:val="none"/>
        </w:rPr>
      </w:pPr>
    </w:p>
    <w:p w14:paraId="3D54128E">
      <w:pPr>
        <w:spacing w:line="360" w:lineRule="auto"/>
        <w:ind w:firstLine="474" w:firstLineChars="225"/>
        <w:jc w:val="both"/>
        <w:outlineLvl w:val="1"/>
        <w:rPr>
          <w:rFonts w:hint="default" w:ascii="宋体" w:hAnsi="宋体" w:eastAsia="宋体" w:cs="宋体"/>
          <w:b/>
          <w:bCs/>
          <w:color w:val="auto"/>
          <w:highlight w:val="none"/>
          <w:lang w:val="en-US" w:eastAsia="zh-CN"/>
        </w:rPr>
      </w:pPr>
      <w:bookmarkStart w:id="54" w:name="_Toc12609"/>
      <w:bookmarkStart w:id="55" w:name="_Toc9918"/>
      <w:bookmarkStart w:id="56" w:name="_Toc24345"/>
      <w:r>
        <w:rPr>
          <w:rFonts w:hint="eastAsia" w:ascii="宋体" w:hAnsi="宋体" w:cs="宋体"/>
          <w:b/>
          <w:bCs/>
          <w:color w:val="auto"/>
          <w:sz w:val="21"/>
          <w:szCs w:val="21"/>
          <w:highlight w:val="none"/>
          <w:lang w:val="en-US" w:eastAsia="zh-CN" w:bidi="ar-SA"/>
        </w:rPr>
        <w:t>六</w:t>
      </w:r>
      <w:r>
        <w:rPr>
          <w:rFonts w:hint="eastAsia" w:ascii="宋体" w:hAnsi="宋体" w:eastAsia="宋体" w:cs="宋体"/>
          <w:b/>
          <w:bCs/>
          <w:color w:val="auto"/>
          <w:sz w:val="21"/>
          <w:szCs w:val="21"/>
          <w:highlight w:val="none"/>
          <w:lang w:val="en-US" w:eastAsia="zh-CN" w:bidi="ar-SA"/>
        </w:rPr>
        <w:t>、</w:t>
      </w:r>
      <w:r>
        <w:rPr>
          <w:rFonts w:hint="eastAsia" w:ascii="宋体" w:hAnsi="宋体" w:cs="宋体"/>
          <w:b/>
          <w:bCs/>
          <w:color w:val="auto"/>
          <w:highlight w:val="none"/>
          <w:lang w:val="en-US" w:eastAsia="zh-CN"/>
        </w:rPr>
        <w:t>采购结果公告网站</w:t>
      </w:r>
      <w:bookmarkEnd w:id="54"/>
      <w:bookmarkEnd w:id="55"/>
      <w:bookmarkEnd w:id="56"/>
    </w:p>
    <w:p w14:paraId="7A54359D">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lang w:eastAsia="zh-CN"/>
        </w:rPr>
        <w:t>广州中经招标有限公司官网</w:t>
      </w:r>
      <w:r>
        <w:rPr>
          <w:rFonts w:hint="eastAsia" w:ascii="宋体" w:hAnsi="宋体" w:cs="宋体"/>
          <w:color w:val="auto"/>
          <w:highlight w:val="none"/>
        </w:rPr>
        <w:t>（http://gzbidding.cn）。</w:t>
      </w:r>
    </w:p>
    <w:p w14:paraId="18AF7FD6">
      <w:pPr>
        <w:spacing w:line="360" w:lineRule="auto"/>
        <w:ind w:firstLine="474" w:firstLineChars="225"/>
        <w:jc w:val="both"/>
        <w:outlineLvl w:val="1"/>
        <w:rPr>
          <w:rFonts w:hint="eastAsia" w:ascii="宋体" w:hAnsi="宋体" w:eastAsia="宋体" w:cs="宋体"/>
          <w:b/>
          <w:bCs/>
          <w:color w:val="auto"/>
          <w:sz w:val="21"/>
          <w:szCs w:val="21"/>
          <w:highlight w:val="none"/>
          <w:lang w:val="en-US" w:eastAsia="zh-CN" w:bidi="ar-SA"/>
        </w:rPr>
      </w:pPr>
      <w:bookmarkStart w:id="57" w:name="_Toc4807"/>
      <w:bookmarkStart w:id="58" w:name="_Toc18351"/>
      <w:bookmarkStart w:id="59" w:name="_Toc8859"/>
    </w:p>
    <w:p w14:paraId="097BAE5A">
      <w:pPr>
        <w:spacing w:line="360" w:lineRule="auto"/>
        <w:ind w:firstLine="474" w:firstLineChars="225"/>
        <w:jc w:val="both"/>
        <w:outlineLvl w:val="1"/>
        <w:rPr>
          <w:rFonts w:ascii="宋体" w:hAnsi="宋体" w:cs="宋体"/>
          <w:b/>
          <w:bCs/>
          <w:color w:val="auto"/>
          <w:highlight w:val="none"/>
        </w:rPr>
      </w:pPr>
      <w:bookmarkStart w:id="60" w:name="_Toc9673"/>
      <w:bookmarkStart w:id="61" w:name="_Toc5009"/>
      <w:bookmarkStart w:id="62" w:name="_Toc10176"/>
      <w:r>
        <w:rPr>
          <w:rFonts w:hint="eastAsia" w:ascii="宋体" w:hAnsi="宋体" w:cs="宋体"/>
          <w:b/>
          <w:bCs/>
          <w:color w:val="auto"/>
          <w:sz w:val="21"/>
          <w:szCs w:val="21"/>
          <w:highlight w:val="none"/>
          <w:lang w:val="en-US" w:eastAsia="zh-CN" w:bidi="ar-SA"/>
        </w:rPr>
        <w:t>七</w:t>
      </w:r>
      <w:r>
        <w:rPr>
          <w:rFonts w:hint="eastAsia" w:ascii="宋体" w:hAnsi="宋体" w:eastAsia="宋体" w:cs="宋体"/>
          <w:b/>
          <w:bCs/>
          <w:color w:val="auto"/>
          <w:sz w:val="21"/>
          <w:szCs w:val="21"/>
          <w:highlight w:val="none"/>
          <w:lang w:val="en-US" w:eastAsia="zh-CN" w:bidi="ar-SA"/>
        </w:rPr>
        <w:t>、</w:t>
      </w:r>
      <w:r>
        <w:rPr>
          <w:rFonts w:hint="eastAsia" w:ascii="宋体" w:hAnsi="宋体" w:cs="宋体"/>
          <w:b/>
          <w:bCs/>
          <w:color w:val="auto"/>
          <w:highlight w:val="none"/>
        </w:rPr>
        <w:t>对本次遴选提出询问，请按以下方式联系</w:t>
      </w:r>
      <w:bookmarkEnd w:id="57"/>
      <w:bookmarkEnd w:id="58"/>
      <w:bookmarkEnd w:id="59"/>
      <w:bookmarkEnd w:id="60"/>
      <w:bookmarkEnd w:id="61"/>
      <w:bookmarkEnd w:id="62"/>
    </w:p>
    <w:p w14:paraId="00203D0A">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1.采购人</w:t>
      </w:r>
    </w:p>
    <w:p w14:paraId="2E640864">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名称：广州医科大学附属妇女儿童医疗中心</w:t>
      </w:r>
    </w:p>
    <w:p w14:paraId="5C72B291">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2.采购代理机构</w:t>
      </w:r>
    </w:p>
    <w:p w14:paraId="3387FADB">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名称：</w:t>
      </w:r>
      <w:r>
        <w:rPr>
          <w:rFonts w:hint="eastAsia" w:ascii="宋体" w:hAnsi="宋体" w:cs="宋体"/>
          <w:color w:val="auto"/>
          <w:highlight w:val="none"/>
          <w:lang w:eastAsia="zh-CN"/>
        </w:rPr>
        <w:t>广州中经招标有限公司</w:t>
      </w:r>
    </w:p>
    <w:p w14:paraId="1BF20806">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地址：</w:t>
      </w:r>
      <w:r>
        <w:rPr>
          <w:rFonts w:hint="eastAsia" w:ascii="宋体" w:hAnsi="宋体" w:cs="宋体"/>
          <w:color w:val="auto"/>
          <w:highlight w:val="none"/>
          <w:lang w:eastAsia="zh-CN"/>
        </w:rPr>
        <w:t>广州市越秀区寺右一马路18号泰恒大厦14楼1409室</w:t>
      </w:r>
    </w:p>
    <w:p w14:paraId="307DD70C">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3.项目联系方式</w:t>
      </w:r>
    </w:p>
    <w:p w14:paraId="3A15DC52">
      <w:pPr>
        <w:spacing w:line="360" w:lineRule="auto"/>
        <w:ind w:firstLine="472" w:firstLineChars="225"/>
        <w:jc w:val="both"/>
        <w:rPr>
          <w:rFonts w:hint="default" w:ascii="宋体" w:hAnsi="宋体" w:cs="宋体"/>
          <w:color w:val="auto"/>
          <w:highlight w:val="none"/>
          <w:lang w:val="en-US" w:eastAsia="zh-CN"/>
        </w:rPr>
      </w:pPr>
      <w:r>
        <w:rPr>
          <w:rFonts w:hint="eastAsia" w:ascii="宋体" w:hAnsi="宋体" w:cs="宋体"/>
          <w:color w:val="auto"/>
          <w:highlight w:val="none"/>
        </w:rPr>
        <w:t>项目联系人：</w:t>
      </w:r>
      <w:r>
        <w:rPr>
          <w:rFonts w:hint="eastAsia" w:ascii="宋体" w:hAnsi="宋体" w:cs="宋体"/>
          <w:color w:val="auto"/>
          <w:highlight w:val="none"/>
          <w:lang w:eastAsia="zh-CN"/>
        </w:rPr>
        <w:t>黄先生</w:t>
      </w:r>
    </w:p>
    <w:p w14:paraId="13B13E0C">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联系电话：</w:t>
      </w:r>
      <w:r>
        <w:rPr>
          <w:rFonts w:hint="eastAsia" w:ascii="宋体" w:hAnsi="宋体" w:cs="宋体"/>
          <w:color w:val="auto"/>
          <w:highlight w:val="none"/>
          <w:lang w:eastAsia="zh-CN"/>
        </w:rPr>
        <w:t>020-87385151</w:t>
      </w:r>
    </w:p>
    <w:p w14:paraId="11CB0C2B">
      <w:pPr>
        <w:spacing w:line="360" w:lineRule="auto"/>
        <w:ind w:firstLine="472" w:firstLineChars="225"/>
        <w:jc w:val="both"/>
        <w:rPr>
          <w:rFonts w:hint="eastAsia" w:ascii="宋体" w:hAnsi="宋体" w:cs="宋体"/>
          <w:color w:val="auto"/>
          <w:highlight w:val="none"/>
        </w:rPr>
      </w:pPr>
      <w:r>
        <w:rPr>
          <w:rFonts w:hint="eastAsia" w:ascii="宋体" w:hAnsi="宋体" w:cs="宋体"/>
          <w:color w:val="auto"/>
          <w:highlight w:val="none"/>
        </w:rPr>
        <w:t>E-mail：</w:t>
      </w:r>
      <w:r>
        <w:rPr>
          <w:color w:val="auto"/>
          <w:highlight w:val="none"/>
        </w:rPr>
        <w:fldChar w:fldCharType="begin"/>
      </w:r>
      <w:r>
        <w:rPr>
          <w:color w:val="auto"/>
          <w:highlight w:val="none"/>
        </w:rPr>
        <w:instrText xml:space="preserve"> HYPERLINK "mailto:gmetb3@163.com" </w:instrText>
      </w:r>
      <w:r>
        <w:rPr>
          <w:color w:val="auto"/>
          <w:highlight w:val="none"/>
        </w:rPr>
        <w:fldChar w:fldCharType="separate"/>
      </w:r>
      <w:r>
        <w:rPr>
          <w:rFonts w:hint="eastAsia" w:ascii="宋体" w:hAnsi="宋体" w:cs="宋体"/>
          <w:color w:val="auto"/>
          <w:highlight w:val="none"/>
          <w:lang w:eastAsia="zh-CN"/>
        </w:rPr>
        <w:t>gzzjzbyxgs@126.com</w:t>
      </w:r>
      <w:r>
        <w:rPr>
          <w:rFonts w:hint="eastAsia" w:ascii="宋体" w:hAnsi="宋体" w:cs="宋体"/>
          <w:color w:val="auto"/>
          <w:highlight w:val="none"/>
        </w:rPr>
        <w:fldChar w:fldCharType="end"/>
      </w:r>
    </w:p>
    <w:p w14:paraId="54BA3919">
      <w:pPr>
        <w:spacing w:line="360" w:lineRule="auto"/>
        <w:ind w:left="700" w:right="109"/>
        <w:jc w:val="right"/>
        <w:rPr>
          <w:rFonts w:ascii="宋体" w:hAnsi="宋体" w:cs="宋体"/>
          <w:b/>
          <w:bCs/>
          <w:color w:val="auto"/>
          <w:highlight w:val="none"/>
        </w:rPr>
      </w:pPr>
    </w:p>
    <w:p w14:paraId="1E18147F">
      <w:pPr>
        <w:spacing w:line="360" w:lineRule="auto"/>
        <w:ind w:left="700" w:right="109"/>
        <w:jc w:val="right"/>
        <w:outlineLvl w:val="0"/>
        <w:rPr>
          <w:rFonts w:ascii="宋体" w:hAnsi="宋体" w:cs="宋体"/>
          <w:b/>
          <w:bCs/>
          <w:color w:val="auto"/>
          <w:highlight w:val="none"/>
        </w:rPr>
      </w:pPr>
      <w:bookmarkStart w:id="63" w:name="_Toc32035"/>
      <w:bookmarkStart w:id="64" w:name="_Toc13799"/>
      <w:bookmarkStart w:id="65" w:name="_Toc22622"/>
      <w:r>
        <w:rPr>
          <w:rFonts w:hint="eastAsia" w:ascii="宋体" w:hAnsi="宋体" w:cs="宋体"/>
          <w:color w:val="auto"/>
          <w:highlight w:val="none"/>
          <w:lang w:eastAsia="zh-CN"/>
        </w:rPr>
        <w:t>广州中经招标有限公司</w:t>
      </w:r>
      <w:bookmarkEnd w:id="63"/>
      <w:bookmarkEnd w:id="64"/>
      <w:bookmarkEnd w:id="65"/>
    </w:p>
    <w:p w14:paraId="2F1F7A02">
      <w:pPr>
        <w:spacing w:line="360" w:lineRule="auto"/>
        <w:rPr>
          <w:rFonts w:ascii="宋体" w:hAnsi="宋体" w:cs="宋体"/>
          <w:b/>
          <w:bCs/>
          <w:color w:val="auto"/>
          <w:highlight w:val="none"/>
        </w:rPr>
      </w:pPr>
      <w:r>
        <w:rPr>
          <w:rFonts w:hint="eastAsia" w:ascii="宋体" w:hAnsi="宋体" w:cs="宋体"/>
          <w:b/>
          <w:bCs/>
          <w:color w:val="auto"/>
          <w:highlight w:val="none"/>
        </w:rPr>
        <w:br w:type="page"/>
      </w:r>
    </w:p>
    <w:p w14:paraId="25C8BA69">
      <w:pPr>
        <w:pStyle w:val="2"/>
        <w:pageBreakBefore/>
        <w:spacing w:before="0" w:after="0" w:line="360" w:lineRule="auto"/>
        <w:jc w:val="center"/>
        <w:rPr>
          <w:rFonts w:ascii="宋体" w:hAnsi="宋体" w:cs="宋体"/>
          <w:color w:val="auto"/>
          <w:sz w:val="44"/>
          <w:szCs w:val="44"/>
          <w:highlight w:val="none"/>
        </w:rPr>
      </w:pPr>
      <w:bookmarkStart w:id="66" w:name="_Toc508036044"/>
      <w:bookmarkStart w:id="67" w:name="_Toc535854311"/>
      <w:bookmarkStart w:id="68" w:name="_Toc26592"/>
      <w:bookmarkStart w:id="69" w:name="_Toc22029"/>
      <w:bookmarkStart w:id="70" w:name="_Toc10541"/>
      <w:bookmarkStart w:id="71" w:name="_Toc511916074"/>
      <w:bookmarkStart w:id="72" w:name="_Toc528659858"/>
      <w:bookmarkStart w:id="73" w:name="_Toc25166"/>
      <w:bookmarkStart w:id="74" w:name="_Toc25904"/>
      <w:bookmarkStart w:id="75" w:name="_Toc30205"/>
      <w:bookmarkStart w:id="76" w:name="_Toc3723"/>
      <w:bookmarkStart w:id="77" w:name="_Toc513112120"/>
      <w:bookmarkStart w:id="78" w:name="_Toc513630904"/>
      <w:bookmarkStart w:id="79" w:name="_Toc508619382"/>
      <w:bookmarkStart w:id="80" w:name="_Toc15427"/>
      <w:bookmarkStart w:id="81" w:name="_Toc500260825"/>
      <w:bookmarkStart w:id="82" w:name="_Toc30995"/>
      <w:bookmarkStart w:id="83" w:name="_Toc6887"/>
      <w:bookmarkStart w:id="84" w:name="_Toc535418281"/>
      <w:r>
        <w:rPr>
          <w:rFonts w:hint="eastAsia" w:ascii="宋体" w:hAnsi="宋体" w:cs="宋体"/>
          <w:color w:val="auto"/>
          <w:sz w:val="44"/>
          <w:szCs w:val="44"/>
          <w:highlight w:val="none"/>
        </w:rPr>
        <w:t>第二章 参选人须知</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A77C385">
      <w:pPr>
        <w:spacing w:line="360" w:lineRule="auto"/>
        <w:ind w:firstLine="371" w:firstLineChars="177"/>
        <w:rPr>
          <w:rFonts w:ascii="宋体" w:hAnsi="宋体" w:cs="宋体"/>
          <w:color w:val="auto"/>
          <w:highlight w:val="none"/>
        </w:rPr>
      </w:pPr>
      <w:r>
        <w:rPr>
          <w:rFonts w:hint="eastAsia" w:ascii="宋体" w:hAnsi="宋体" w:cs="宋体"/>
          <w:color w:val="auto"/>
          <w:highlight w:val="none"/>
        </w:rPr>
        <w:t>参选人必须认真阅读遴选文件中所有的事项、格式、条款和采购需求等。参选人没有按照遴选文件要求提交全部资料，或者参选文件没有对遴选文件在各方面都做出实质性响应是参选人的风险，并可能导致其参选无效或被拒绝。</w:t>
      </w:r>
    </w:p>
    <w:p w14:paraId="260BB6D9">
      <w:pPr>
        <w:pStyle w:val="4"/>
        <w:numPr>
          <w:ilvl w:val="0"/>
          <w:numId w:val="1"/>
        </w:numPr>
        <w:spacing w:line="360" w:lineRule="auto"/>
        <w:ind w:left="567" w:hanging="27"/>
        <w:jc w:val="left"/>
        <w:rPr>
          <w:rFonts w:hAnsi="宋体" w:cs="宋体"/>
          <w:b/>
          <w:bCs/>
          <w:color w:val="auto"/>
          <w:sz w:val="21"/>
          <w:szCs w:val="21"/>
          <w:highlight w:val="none"/>
        </w:rPr>
      </w:pPr>
      <w:bookmarkStart w:id="85" w:name="_Toc513630905"/>
      <w:bookmarkStart w:id="86" w:name="_Toc475462178"/>
      <w:bookmarkStart w:id="87" w:name="_Toc478741145"/>
      <w:bookmarkStart w:id="88" w:name="_Toc511916075"/>
      <w:bookmarkStart w:id="89" w:name="_Toc22466"/>
      <w:bookmarkStart w:id="90" w:name="_Toc13453"/>
      <w:bookmarkStart w:id="91" w:name="_Toc513112121"/>
      <w:bookmarkStart w:id="92" w:name="_Toc6407"/>
      <w:bookmarkStart w:id="93" w:name="_Toc1141"/>
      <w:bookmarkStart w:id="94" w:name="_Toc535418282"/>
      <w:bookmarkStart w:id="95" w:name="_Toc31796"/>
      <w:bookmarkStart w:id="96" w:name="_Toc475456315"/>
      <w:bookmarkStart w:id="97" w:name="_Toc508619383"/>
      <w:bookmarkStart w:id="98" w:name="_Toc500260826"/>
      <w:bookmarkStart w:id="99" w:name="_Toc475463016"/>
      <w:bookmarkStart w:id="100" w:name="_Toc24054"/>
      <w:bookmarkStart w:id="101" w:name="_Toc120"/>
      <w:bookmarkStart w:id="102" w:name="_Toc508036045"/>
      <w:bookmarkStart w:id="103" w:name="_Toc528659859"/>
      <w:bookmarkStart w:id="104" w:name="_Toc24363"/>
      <w:bookmarkStart w:id="105" w:name="_Toc13946"/>
      <w:bookmarkStart w:id="106" w:name="_Toc535854312"/>
      <w:bookmarkStart w:id="107" w:name="_Toc494188721"/>
      <w:bookmarkStart w:id="108" w:name="_Toc23071"/>
      <w:bookmarkStart w:id="109" w:name="_Toc175644386"/>
      <w:r>
        <w:rPr>
          <w:rFonts w:hint="eastAsia" w:hAnsi="宋体" w:cs="宋体"/>
          <w:b/>
          <w:bCs/>
          <w:color w:val="auto"/>
          <w:sz w:val="21"/>
          <w:szCs w:val="21"/>
          <w:highlight w:val="none"/>
        </w:rPr>
        <w:t>定义</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5790D0">
      <w:pPr>
        <w:numPr>
          <w:ilvl w:val="1"/>
          <w:numId w:val="1"/>
        </w:numPr>
        <w:spacing w:line="360" w:lineRule="auto"/>
        <w:ind w:left="14" w:firstLine="411"/>
        <w:rPr>
          <w:rFonts w:ascii="宋体" w:hAnsi="宋体" w:cs="宋体"/>
          <w:color w:val="auto"/>
          <w:highlight w:val="none"/>
        </w:rPr>
      </w:pPr>
      <w:bookmarkStart w:id="110" w:name="_Toc475462179"/>
      <w:bookmarkStart w:id="111" w:name="_Toc21776"/>
      <w:bookmarkStart w:id="112" w:name="_Toc508036046"/>
      <w:bookmarkStart w:id="113" w:name="_Toc511916076"/>
      <w:bookmarkStart w:id="114" w:name="_Toc475463017"/>
      <w:bookmarkStart w:id="115" w:name="_Toc475456316"/>
      <w:bookmarkStart w:id="116" w:name="_Toc478741146"/>
      <w:bookmarkStart w:id="117" w:name="_Toc513112122"/>
      <w:bookmarkStart w:id="118" w:name="_Toc513630906"/>
      <w:bookmarkStart w:id="119" w:name="_Toc528659860"/>
      <w:bookmarkStart w:id="120" w:name="_Toc500260827"/>
      <w:bookmarkStart w:id="121" w:name="_Toc4764"/>
      <w:bookmarkStart w:id="122" w:name="_Toc535854313"/>
      <w:bookmarkStart w:id="123" w:name="_Toc535418283"/>
      <w:bookmarkStart w:id="124" w:name="_Toc28795"/>
      <w:bookmarkStart w:id="125" w:name="_Toc508619384"/>
      <w:r>
        <w:rPr>
          <w:rFonts w:hint="eastAsia" w:ascii="宋体" w:hAnsi="宋体" w:cs="宋体"/>
          <w:color w:val="auto"/>
          <w:highlight w:val="none"/>
        </w:rPr>
        <w:t>采购人：是指依法进行采购的国家机关、事业单位、团体组织。</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DF721EF">
      <w:pPr>
        <w:numPr>
          <w:ilvl w:val="1"/>
          <w:numId w:val="1"/>
        </w:numPr>
        <w:spacing w:line="360" w:lineRule="auto"/>
        <w:ind w:left="14" w:firstLine="411"/>
        <w:rPr>
          <w:rFonts w:ascii="宋体" w:hAnsi="宋体" w:cs="宋体"/>
          <w:color w:val="auto"/>
          <w:highlight w:val="none"/>
        </w:rPr>
      </w:pPr>
      <w:bookmarkStart w:id="126" w:name="_Toc29886"/>
      <w:bookmarkStart w:id="127" w:name="_Toc478741147"/>
      <w:bookmarkStart w:id="128" w:name="_Toc513630907"/>
      <w:bookmarkStart w:id="129" w:name="_Toc475456317"/>
      <w:bookmarkStart w:id="130" w:name="_Toc31603"/>
      <w:bookmarkStart w:id="131" w:name="_Toc511916077"/>
      <w:bookmarkStart w:id="132" w:name="_Toc535418284"/>
      <w:bookmarkStart w:id="133" w:name="_Toc528659861"/>
      <w:bookmarkStart w:id="134" w:name="_Toc508619385"/>
      <w:bookmarkStart w:id="135" w:name="_Toc513112123"/>
      <w:bookmarkStart w:id="136" w:name="_Toc475462180"/>
      <w:bookmarkStart w:id="137" w:name="_Toc508036047"/>
      <w:bookmarkStart w:id="138" w:name="_Toc5339"/>
      <w:bookmarkStart w:id="139" w:name="_Toc535854314"/>
      <w:bookmarkStart w:id="140" w:name="_Toc500260828"/>
      <w:bookmarkStart w:id="141" w:name="_Toc475463018"/>
      <w:r>
        <w:rPr>
          <w:rFonts w:hint="eastAsia" w:ascii="宋体" w:hAnsi="宋体" w:cs="宋体"/>
          <w:color w:val="auto"/>
          <w:highlight w:val="none"/>
        </w:rPr>
        <w:t>采购代理机构：采购代理机构是依法设立、从事采购代理业务并提供相关服务的社会中介组织。</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310723B">
      <w:pPr>
        <w:numPr>
          <w:ilvl w:val="1"/>
          <w:numId w:val="1"/>
        </w:numPr>
        <w:spacing w:line="360" w:lineRule="auto"/>
        <w:ind w:left="14" w:firstLine="411"/>
        <w:rPr>
          <w:rFonts w:ascii="宋体" w:hAnsi="宋体" w:cs="宋体"/>
          <w:color w:val="auto"/>
          <w:highlight w:val="none"/>
        </w:rPr>
      </w:pPr>
      <w:bookmarkStart w:id="142" w:name="_Toc508036048"/>
      <w:bookmarkStart w:id="143" w:name="_Toc478741148"/>
      <w:bookmarkStart w:id="144" w:name="_Toc5466"/>
      <w:bookmarkStart w:id="145" w:name="_Toc528659862"/>
      <w:bookmarkStart w:id="146" w:name="_Toc535418285"/>
      <w:bookmarkStart w:id="147" w:name="_Toc500260829"/>
      <w:bookmarkStart w:id="148" w:name="_Toc511916078"/>
      <w:bookmarkStart w:id="149" w:name="_Toc21431"/>
      <w:bookmarkStart w:id="150" w:name="_Toc475462181"/>
      <w:bookmarkStart w:id="151" w:name="_Toc3782"/>
      <w:bookmarkStart w:id="152" w:name="_Toc475456318"/>
      <w:bookmarkStart w:id="153" w:name="_Toc475463019"/>
      <w:bookmarkStart w:id="154" w:name="_Toc513630908"/>
      <w:bookmarkStart w:id="155" w:name="_Toc513112124"/>
      <w:bookmarkStart w:id="156" w:name="_Toc508619386"/>
      <w:bookmarkStart w:id="157" w:name="_Toc535854315"/>
      <w:r>
        <w:rPr>
          <w:rFonts w:hint="eastAsia" w:ascii="宋体" w:hAnsi="宋体" w:cs="宋体"/>
          <w:color w:val="auto"/>
          <w:highlight w:val="none"/>
        </w:rPr>
        <w:t>参选人：是响应遴选、参加遴选竞争的法人或其他组织。</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22FA9C8">
      <w:pPr>
        <w:numPr>
          <w:ilvl w:val="1"/>
          <w:numId w:val="1"/>
        </w:numPr>
        <w:spacing w:line="360" w:lineRule="auto"/>
        <w:ind w:left="14" w:firstLine="411"/>
        <w:rPr>
          <w:rFonts w:ascii="宋体" w:hAnsi="宋体" w:cs="宋体"/>
          <w:color w:val="auto"/>
          <w:highlight w:val="none"/>
        </w:rPr>
      </w:pPr>
      <w:bookmarkStart w:id="158" w:name="_Toc508036049"/>
      <w:bookmarkStart w:id="159" w:name="_Toc478741149"/>
      <w:bookmarkStart w:id="160" w:name="_Toc528659863"/>
      <w:bookmarkStart w:id="161" w:name="_Toc475456319"/>
      <w:bookmarkStart w:id="162" w:name="_Toc500260830"/>
      <w:bookmarkStart w:id="163" w:name="_Toc535418286"/>
      <w:bookmarkStart w:id="164" w:name="_Toc513630909"/>
      <w:bookmarkStart w:id="165" w:name="_Toc535854316"/>
      <w:bookmarkStart w:id="166" w:name="_Toc508619387"/>
      <w:bookmarkStart w:id="167" w:name="_Toc475463020"/>
      <w:bookmarkStart w:id="168" w:name="_Toc4435"/>
      <w:bookmarkStart w:id="169" w:name="_Toc511916079"/>
      <w:bookmarkStart w:id="170" w:name="_Toc26720"/>
      <w:bookmarkStart w:id="171" w:name="_Toc475462182"/>
      <w:bookmarkStart w:id="172" w:name="_Toc11872"/>
      <w:bookmarkStart w:id="173" w:name="_Toc513112125"/>
      <w:r>
        <w:rPr>
          <w:rFonts w:hint="eastAsia" w:ascii="宋体" w:hAnsi="宋体" w:cs="宋体"/>
          <w:color w:val="auto"/>
          <w:highlight w:val="none"/>
        </w:rPr>
        <w:t>采购合同：是指由采购人和参选人签订的规定双方权利和义务的协议。</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C6EB6E7">
      <w:pPr>
        <w:numPr>
          <w:ilvl w:val="1"/>
          <w:numId w:val="1"/>
        </w:numPr>
        <w:spacing w:line="360" w:lineRule="auto"/>
        <w:ind w:left="14" w:firstLine="411"/>
        <w:rPr>
          <w:rFonts w:ascii="宋体" w:hAnsi="宋体" w:cs="宋体"/>
          <w:b/>
          <w:bCs/>
          <w:color w:val="auto"/>
          <w:highlight w:val="none"/>
        </w:rPr>
      </w:pPr>
      <w:r>
        <w:rPr>
          <w:rFonts w:hint="eastAsia" w:ascii="宋体" w:hAnsi="宋体" w:cs="宋体"/>
          <w:b/>
          <w:bCs/>
          <w:color w:val="auto"/>
          <w:highlight w:val="none"/>
        </w:rPr>
        <w:t>电子参选文件：</w:t>
      </w:r>
      <w:r>
        <w:rPr>
          <w:rFonts w:hint="eastAsia" w:ascii="宋体" w:hAnsi="宋体" w:cs="宋体"/>
          <w:b/>
          <w:bCs/>
          <w:color w:val="auto"/>
          <w:highlight w:val="none"/>
          <w:lang w:val="en-US" w:eastAsia="zh-CN"/>
        </w:rPr>
        <w:t>是指在参选截止时间前递交的</w:t>
      </w:r>
      <w:r>
        <w:rPr>
          <w:rFonts w:hint="eastAsia" w:ascii="宋体" w:hAnsi="宋体" w:cs="宋体"/>
          <w:b/>
          <w:bCs/>
          <w:color w:val="auto"/>
          <w:highlight w:val="none"/>
        </w:rPr>
        <w:t>不可编制且加盖</w:t>
      </w:r>
      <w:r>
        <w:rPr>
          <w:rFonts w:hint="eastAsia" w:ascii="宋体" w:hAnsi="宋体" w:eastAsia="宋体" w:cs="宋体"/>
          <w:b/>
          <w:bCs/>
          <w:color w:val="auto"/>
          <w:highlight w:val="none"/>
          <w:u w:val="none"/>
          <w:lang w:val="en-US" w:eastAsia="zh-CN"/>
        </w:rPr>
        <w:t>参选人</w:t>
      </w:r>
      <w:r>
        <w:rPr>
          <w:rFonts w:hint="eastAsia" w:ascii="宋体" w:hAnsi="宋体" w:cs="宋体"/>
          <w:b/>
          <w:bCs/>
          <w:color w:val="auto"/>
          <w:highlight w:val="none"/>
        </w:rPr>
        <w:t>公章的PDF文件</w:t>
      </w:r>
      <w:r>
        <w:rPr>
          <w:rFonts w:hint="eastAsia" w:ascii="宋体" w:hAnsi="宋体" w:cs="宋体"/>
          <w:b/>
          <w:bCs/>
          <w:color w:val="auto"/>
          <w:highlight w:val="none"/>
          <w:u w:val="single"/>
          <w:lang w:val="en-US" w:eastAsia="zh-CN"/>
        </w:rPr>
        <w:t>（为全彩色扫描件）</w:t>
      </w:r>
      <w:r>
        <w:rPr>
          <w:rFonts w:hint="eastAsia" w:ascii="宋体" w:hAnsi="宋体" w:cs="宋体"/>
          <w:b/>
          <w:bCs/>
          <w:color w:val="auto"/>
          <w:highlight w:val="none"/>
          <w:lang w:eastAsia="zh-CN"/>
        </w:rPr>
        <w:t>。</w:t>
      </w:r>
    </w:p>
    <w:p w14:paraId="0530C056">
      <w:pPr>
        <w:numPr>
          <w:ilvl w:val="0"/>
          <w:numId w:val="0"/>
        </w:numPr>
        <w:spacing w:line="360" w:lineRule="auto"/>
        <w:rPr>
          <w:rFonts w:ascii="宋体" w:hAnsi="宋体" w:cs="宋体"/>
          <w:color w:val="auto"/>
          <w:highlight w:val="none"/>
        </w:rPr>
      </w:pPr>
    </w:p>
    <w:p w14:paraId="399F265C">
      <w:pPr>
        <w:pStyle w:val="4"/>
        <w:numPr>
          <w:ilvl w:val="0"/>
          <w:numId w:val="1"/>
        </w:numPr>
        <w:spacing w:line="360" w:lineRule="auto"/>
        <w:ind w:left="567" w:hanging="27"/>
        <w:jc w:val="left"/>
        <w:rPr>
          <w:rFonts w:hAnsi="宋体" w:cs="宋体"/>
          <w:b/>
          <w:bCs/>
          <w:color w:val="auto"/>
          <w:sz w:val="21"/>
          <w:szCs w:val="21"/>
          <w:highlight w:val="none"/>
        </w:rPr>
      </w:pPr>
      <w:bookmarkStart w:id="174" w:name="_Toc500260831"/>
      <w:bookmarkStart w:id="175" w:name="_Toc475462183"/>
      <w:bookmarkStart w:id="176" w:name="_Toc24725"/>
      <w:bookmarkStart w:id="177" w:name="_Toc16863"/>
      <w:bookmarkStart w:id="178" w:name="_Toc8731"/>
      <w:bookmarkStart w:id="179" w:name="_Toc528659864"/>
      <w:bookmarkStart w:id="180" w:name="_Toc475463021"/>
      <w:bookmarkStart w:id="181" w:name="_Toc12672"/>
      <w:bookmarkStart w:id="182" w:name="_Toc30026"/>
      <w:bookmarkStart w:id="183" w:name="_Toc18331"/>
      <w:bookmarkStart w:id="184" w:name="_Toc508619388"/>
      <w:bookmarkStart w:id="185" w:name="_Toc535418287"/>
      <w:bookmarkStart w:id="186" w:name="_Toc494188722"/>
      <w:bookmarkStart w:id="187" w:name="_Toc475456320"/>
      <w:bookmarkStart w:id="188" w:name="_Toc22017"/>
      <w:bookmarkStart w:id="189" w:name="_Toc511916080"/>
      <w:bookmarkStart w:id="190" w:name="_Toc8495"/>
      <w:bookmarkStart w:id="191" w:name="_Toc535854317"/>
      <w:bookmarkStart w:id="192" w:name="_Toc513630910"/>
      <w:bookmarkStart w:id="193" w:name="_Toc513112126"/>
      <w:bookmarkStart w:id="194" w:name="_Toc2155"/>
      <w:bookmarkStart w:id="195" w:name="_Toc14142"/>
      <w:bookmarkStart w:id="196" w:name="_Toc508036050"/>
      <w:bookmarkStart w:id="197" w:name="_Toc478741150"/>
      <w:r>
        <w:rPr>
          <w:rFonts w:hint="eastAsia" w:hAnsi="宋体" w:cs="宋体"/>
          <w:b/>
          <w:bCs/>
          <w:color w:val="auto"/>
          <w:sz w:val="21"/>
          <w:szCs w:val="21"/>
          <w:highlight w:val="none"/>
        </w:rPr>
        <w:t>一般要求</w:t>
      </w:r>
      <w:bookmarkEnd w:id="10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2D7FDDB">
      <w:pPr>
        <w:numPr>
          <w:ilvl w:val="1"/>
          <w:numId w:val="1"/>
        </w:numPr>
        <w:spacing w:line="360" w:lineRule="auto"/>
        <w:ind w:left="1134" w:hanging="709"/>
        <w:rPr>
          <w:rFonts w:ascii="宋体" w:hAnsi="宋体" w:cs="宋体"/>
          <w:color w:val="auto"/>
          <w:highlight w:val="none"/>
        </w:rPr>
      </w:pPr>
      <w:bookmarkStart w:id="198" w:name="_Toc500260832"/>
      <w:bookmarkStart w:id="199" w:name="_Toc42313155"/>
      <w:bookmarkStart w:id="200" w:name="_Toc508036051"/>
      <w:bookmarkStart w:id="201" w:name="_Toc98579053"/>
      <w:bookmarkStart w:id="202" w:name="_Toc98578995"/>
      <w:bookmarkStart w:id="203" w:name="_Toc18583"/>
      <w:bookmarkStart w:id="204" w:name="_Toc513630911"/>
      <w:bookmarkStart w:id="205" w:name="_Toc478741151"/>
      <w:bookmarkStart w:id="206" w:name="_Toc535854318"/>
      <w:bookmarkStart w:id="207" w:name="_Toc101843112"/>
      <w:bookmarkStart w:id="208" w:name="_Toc101771359"/>
      <w:bookmarkStart w:id="209" w:name="_Toc17419"/>
      <w:bookmarkStart w:id="210" w:name="_Toc101775112"/>
      <w:bookmarkStart w:id="211" w:name="_Toc511916081"/>
      <w:bookmarkStart w:id="212" w:name="_Toc42394500"/>
      <w:bookmarkStart w:id="213" w:name="_Toc508619389"/>
      <w:bookmarkStart w:id="214" w:name="_Toc513112127"/>
      <w:bookmarkStart w:id="215" w:name="_Toc475456321"/>
      <w:bookmarkStart w:id="216" w:name="_Toc535418288"/>
      <w:bookmarkStart w:id="217" w:name="_Toc98580277"/>
      <w:bookmarkStart w:id="218" w:name="_Toc528659865"/>
      <w:bookmarkStart w:id="219" w:name="_Toc41723917"/>
      <w:bookmarkStart w:id="220" w:name="_Toc101951245"/>
      <w:bookmarkStart w:id="221" w:name="_Toc475463022"/>
      <w:bookmarkStart w:id="222" w:name="_Toc98579594"/>
      <w:bookmarkStart w:id="223" w:name="_Toc42394657"/>
      <w:bookmarkStart w:id="224" w:name="_Toc30678"/>
      <w:bookmarkStart w:id="225" w:name="_Toc475462184"/>
      <w:bookmarkStart w:id="226" w:name="_Toc50276141"/>
      <w:bookmarkStart w:id="227" w:name="_Toc41884687"/>
      <w:bookmarkStart w:id="228" w:name="_Toc134956119"/>
      <w:bookmarkStart w:id="229" w:name="_Toc42313157"/>
      <w:bookmarkStart w:id="230" w:name="_Toc101775113"/>
      <w:bookmarkStart w:id="231" w:name="_Toc98580279"/>
      <w:bookmarkStart w:id="232" w:name="_Toc101951246"/>
      <w:bookmarkStart w:id="233" w:name="_Toc101843113"/>
      <w:bookmarkStart w:id="234" w:name="_Toc98579596"/>
      <w:bookmarkStart w:id="235" w:name="_Toc134956120"/>
      <w:bookmarkStart w:id="236" w:name="_Toc98579055"/>
      <w:bookmarkStart w:id="237" w:name="_Toc42394502"/>
      <w:bookmarkStart w:id="238" w:name="_Toc42394659"/>
      <w:bookmarkStart w:id="239" w:name="_Toc50276143"/>
      <w:bookmarkStart w:id="240" w:name="_Toc98578997"/>
      <w:bookmarkStart w:id="241" w:name="_Toc101771360"/>
      <w:r>
        <w:rPr>
          <w:rFonts w:hint="eastAsia" w:ascii="宋体" w:hAnsi="宋体" w:cs="宋体"/>
          <w:color w:val="auto"/>
          <w:highlight w:val="none"/>
        </w:rPr>
        <w:t>参选的费用</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F0F504A">
      <w:pPr>
        <w:numPr>
          <w:ilvl w:val="2"/>
          <w:numId w:val="1"/>
        </w:numPr>
        <w:spacing w:line="360" w:lineRule="auto"/>
        <w:ind w:left="0" w:firstLine="540"/>
        <w:rPr>
          <w:rFonts w:ascii="宋体" w:hAnsi="宋体" w:cs="宋体"/>
          <w:color w:val="auto"/>
          <w:highlight w:val="none"/>
        </w:rPr>
      </w:pPr>
      <w:bookmarkStart w:id="242" w:name="_Toc513630912"/>
      <w:bookmarkStart w:id="243" w:name="_Toc535418289"/>
      <w:bookmarkStart w:id="244" w:name="_Toc513112128"/>
      <w:bookmarkStart w:id="245" w:name="_Toc535854319"/>
      <w:bookmarkStart w:id="246" w:name="_Toc500260833"/>
      <w:bookmarkStart w:id="247" w:name="_Toc1309"/>
      <w:bookmarkStart w:id="248" w:name="_Toc475463023"/>
      <w:bookmarkStart w:id="249" w:name="_Toc30896"/>
      <w:bookmarkStart w:id="250" w:name="_Toc8445"/>
      <w:bookmarkStart w:id="251" w:name="_Toc475462185"/>
      <w:bookmarkStart w:id="252" w:name="_Toc508036052"/>
      <w:bookmarkStart w:id="253" w:name="_Toc511916082"/>
      <w:bookmarkStart w:id="254" w:name="_Toc478741152"/>
      <w:bookmarkStart w:id="255" w:name="_Toc475456322"/>
      <w:bookmarkStart w:id="256" w:name="_Toc508619390"/>
      <w:bookmarkStart w:id="257" w:name="_Toc528659866"/>
      <w:r>
        <w:rPr>
          <w:rFonts w:hint="eastAsia" w:ascii="宋体" w:hAnsi="宋体" w:cs="宋体"/>
          <w:color w:val="auto"/>
          <w:highlight w:val="none"/>
        </w:rPr>
        <w:t>不论参选的结果如何，参选人应承担所有与编写和提交参选文件有关的费用。</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1558684">
      <w:pPr>
        <w:numPr>
          <w:ilvl w:val="2"/>
          <w:numId w:val="1"/>
        </w:numPr>
        <w:spacing w:line="360" w:lineRule="auto"/>
        <w:ind w:left="0" w:firstLine="540"/>
        <w:rPr>
          <w:rFonts w:ascii="宋体" w:hAnsi="宋体" w:cs="宋体"/>
          <w:color w:val="auto"/>
          <w:highlight w:val="none"/>
        </w:rPr>
      </w:pPr>
      <w:bookmarkStart w:id="258" w:name="_Toc24895"/>
      <w:bookmarkStart w:id="259" w:name="_Toc503962148"/>
      <w:bookmarkStart w:id="260" w:name="_Toc29049"/>
      <w:bookmarkStart w:id="261" w:name="_Toc535418290"/>
      <w:bookmarkStart w:id="262" w:name="_Toc528659867"/>
      <w:bookmarkStart w:id="263" w:name="_Toc535854320"/>
      <w:bookmarkStart w:id="264" w:name="_Toc511916083"/>
      <w:bookmarkStart w:id="265" w:name="_Toc508036053"/>
      <w:bookmarkStart w:id="266" w:name="_Toc513630913"/>
      <w:bookmarkStart w:id="267" w:name="_Toc508619391"/>
      <w:bookmarkStart w:id="268" w:name="_Toc24727"/>
      <w:bookmarkStart w:id="269" w:name="_Toc513112129"/>
      <w:bookmarkStart w:id="270" w:name="_Toc503962491"/>
      <w:r>
        <w:rPr>
          <w:rFonts w:hint="eastAsia" w:ascii="宋体" w:hAnsi="宋体" w:cs="宋体"/>
          <w:color w:val="auto"/>
          <w:highlight w:val="none"/>
        </w:rPr>
        <w:t>本次遴选向中选人收取采购代理服务费，采购代理服务费不在分项报价表中单列。</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7B1629C2">
      <w:pPr>
        <w:numPr>
          <w:ilvl w:val="2"/>
          <w:numId w:val="1"/>
        </w:numPr>
        <w:spacing w:line="360" w:lineRule="auto"/>
        <w:ind w:left="0" w:firstLine="540"/>
        <w:rPr>
          <w:rFonts w:ascii="宋体" w:hAnsi="宋体" w:cs="宋体"/>
          <w:color w:val="auto"/>
          <w:highlight w:val="none"/>
        </w:rPr>
      </w:pPr>
      <w:bookmarkStart w:id="271" w:name="_Toc15980"/>
      <w:bookmarkStart w:id="272" w:name="_Toc31097"/>
      <w:bookmarkStart w:id="273" w:name="_Toc527625216"/>
      <w:bookmarkStart w:id="274" w:name="_Toc3828"/>
      <w:bookmarkStart w:id="275" w:name="_Toc519616253"/>
      <w:bookmarkStart w:id="276" w:name="_Toc508036054"/>
      <w:bookmarkStart w:id="277" w:name="_Toc513134239"/>
      <w:bookmarkStart w:id="278" w:name="_Toc24207"/>
      <w:bookmarkStart w:id="279" w:name="_Toc530581086"/>
      <w:bookmarkStart w:id="280" w:name="_Toc526798254"/>
      <w:bookmarkStart w:id="281" w:name="_Toc16698"/>
      <w:bookmarkStart w:id="282" w:name="_Toc508619392"/>
      <w:bookmarkStart w:id="283" w:name="_Toc513112135"/>
      <w:bookmarkStart w:id="284" w:name="_Toc511916089"/>
      <w:bookmarkStart w:id="285" w:name="_Toc513630919"/>
      <w:r>
        <w:rPr>
          <w:rFonts w:hint="eastAsia" w:ascii="宋体" w:hAnsi="宋体" w:cs="宋体"/>
          <w:color w:val="auto"/>
          <w:highlight w:val="none"/>
        </w:rPr>
        <w:t>采购代理机构按项目收取，如项目多于一个包组的，按各包组中选金额占比分摊计算采购代理服务费。具体标准如下：</w:t>
      </w:r>
      <w:bookmarkEnd w:id="271"/>
      <w:bookmarkEnd w:id="272"/>
      <w:bookmarkEnd w:id="273"/>
      <w:bookmarkEnd w:id="274"/>
      <w:bookmarkEnd w:id="275"/>
      <w:bookmarkEnd w:id="276"/>
      <w:bookmarkEnd w:id="277"/>
      <w:bookmarkEnd w:id="278"/>
      <w:bookmarkEnd w:id="279"/>
      <w:bookmarkEnd w:id="280"/>
      <w:bookmarkEnd w:id="281"/>
      <w:bookmarkEnd w:id="282"/>
    </w:p>
    <w:tbl>
      <w:tblPr>
        <w:tblStyle w:val="24"/>
        <w:tblW w:w="0" w:type="auto"/>
        <w:jc w:val="center"/>
        <w:tblLayout w:type="fixed"/>
        <w:tblCellMar>
          <w:top w:w="0" w:type="dxa"/>
          <w:left w:w="108" w:type="dxa"/>
          <w:bottom w:w="0" w:type="dxa"/>
          <w:right w:w="108" w:type="dxa"/>
        </w:tblCellMar>
      </w:tblPr>
      <w:tblGrid>
        <w:gridCol w:w="4699"/>
        <w:gridCol w:w="4700"/>
      </w:tblGrid>
      <w:tr w14:paraId="0860C02C">
        <w:tblPrEx>
          <w:tblCellMar>
            <w:top w:w="0" w:type="dxa"/>
            <w:left w:w="108" w:type="dxa"/>
            <w:bottom w:w="0" w:type="dxa"/>
            <w:right w:w="108" w:type="dxa"/>
          </w:tblCellMar>
        </w:tblPrEx>
        <w:trPr>
          <w:trHeight w:val="608" w:hRule="atLeast"/>
          <w:jc w:val="center"/>
        </w:trPr>
        <w:tc>
          <w:tcPr>
            <w:tcW w:w="4699" w:type="dxa"/>
            <w:tcBorders>
              <w:top w:val="single" w:color="000000" w:sz="6" w:space="0"/>
              <w:left w:val="single" w:color="000000" w:sz="6" w:space="0"/>
              <w:bottom w:val="single" w:color="000000" w:sz="6" w:space="0"/>
              <w:right w:val="single" w:color="000000" w:sz="6" w:space="0"/>
              <w:tl2br w:val="nil"/>
              <w:tr2bl w:val="nil"/>
            </w:tcBorders>
            <w:vAlign w:val="center"/>
          </w:tcPr>
          <w:p w14:paraId="19863ECE">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项目预算金额（万元）</w:t>
            </w:r>
          </w:p>
        </w:tc>
        <w:tc>
          <w:tcPr>
            <w:tcW w:w="4700" w:type="dxa"/>
            <w:tcBorders>
              <w:top w:val="single" w:color="000000" w:sz="6" w:space="0"/>
              <w:left w:val="single" w:color="000000" w:sz="6" w:space="0"/>
              <w:bottom w:val="single" w:color="000000" w:sz="6" w:space="0"/>
              <w:right w:val="single" w:color="000000" w:sz="6" w:space="0"/>
              <w:tl2br w:val="nil"/>
              <w:tr2bl w:val="nil"/>
            </w:tcBorders>
            <w:vAlign w:val="center"/>
          </w:tcPr>
          <w:p w14:paraId="1EA1CB54">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bCs/>
                <w:color w:val="auto"/>
                <w:highlight w:val="none"/>
              </w:rPr>
            </w:pPr>
            <w:r>
              <w:rPr>
                <w:rFonts w:hint="eastAsia" w:ascii="宋体" w:hAnsi="宋体" w:cs="宋体"/>
                <w:color w:val="auto"/>
                <w:highlight w:val="none"/>
              </w:rPr>
              <w:t>采购代理</w:t>
            </w:r>
            <w:r>
              <w:rPr>
                <w:rFonts w:hint="eastAsia" w:asciiTheme="minorEastAsia" w:hAnsiTheme="minorEastAsia" w:eastAsiaTheme="minorEastAsia" w:cstheme="minorEastAsia"/>
                <w:b/>
                <w:bCs/>
                <w:color w:val="auto"/>
                <w:highlight w:val="none"/>
              </w:rPr>
              <w:t xml:space="preserve">服务费收费标准（元） </w:t>
            </w:r>
          </w:p>
        </w:tc>
      </w:tr>
      <w:tr w14:paraId="020CA5E8">
        <w:tblPrEx>
          <w:tblCellMar>
            <w:top w:w="0" w:type="dxa"/>
            <w:left w:w="108" w:type="dxa"/>
            <w:bottom w:w="0" w:type="dxa"/>
            <w:right w:w="108" w:type="dxa"/>
          </w:tblCellMar>
        </w:tblPrEx>
        <w:trPr>
          <w:trHeight w:val="605" w:hRule="atLeast"/>
          <w:jc w:val="center"/>
        </w:trPr>
        <w:tc>
          <w:tcPr>
            <w:tcW w:w="4699" w:type="dxa"/>
            <w:tcBorders>
              <w:top w:val="single" w:color="000000" w:sz="6" w:space="0"/>
              <w:left w:val="single" w:color="000000" w:sz="6" w:space="0"/>
              <w:bottom w:val="single" w:color="000000" w:sz="6" w:space="0"/>
              <w:right w:val="single" w:color="000000" w:sz="6" w:space="0"/>
              <w:tl2br w:val="nil"/>
              <w:tr2bl w:val="nil"/>
            </w:tcBorders>
            <w:vAlign w:val="center"/>
          </w:tcPr>
          <w:p w14:paraId="70B78F7A">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50&lt;</w:t>
            </w:r>
            <w:r>
              <w:rPr>
                <w:rFonts w:hint="eastAsia" w:asciiTheme="minorEastAsia" w:hAnsiTheme="minorEastAsia" w:eastAsiaTheme="minorEastAsia" w:cstheme="minorEastAsia"/>
                <w:b/>
                <w:bCs/>
                <w:color w:val="auto"/>
                <w:highlight w:val="none"/>
              </w:rPr>
              <w:t>项目预算金额</w:t>
            </w:r>
            <w:r>
              <w:rPr>
                <w:rFonts w:hint="eastAsia" w:asciiTheme="minorEastAsia" w:hAnsiTheme="minorEastAsia" w:eastAsiaTheme="minorEastAsia" w:cstheme="minorEastAsia"/>
                <w:color w:val="auto"/>
                <w:highlight w:val="none"/>
              </w:rPr>
              <w:t>&lt;100</w:t>
            </w:r>
          </w:p>
        </w:tc>
        <w:tc>
          <w:tcPr>
            <w:tcW w:w="4700" w:type="dxa"/>
            <w:tcBorders>
              <w:top w:val="single" w:color="000000" w:sz="6" w:space="0"/>
              <w:left w:val="single" w:color="000000" w:sz="6" w:space="0"/>
              <w:bottom w:val="single" w:color="000000" w:sz="6" w:space="0"/>
              <w:right w:val="single" w:color="000000" w:sz="6" w:space="0"/>
              <w:tl2br w:val="nil"/>
              <w:tr2bl w:val="nil"/>
            </w:tcBorders>
            <w:vAlign w:val="center"/>
          </w:tcPr>
          <w:p w14:paraId="3F02DCA0">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8000元/项</w:t>
            </w:r>
            <w:r>
              <w:rPr>
                <w:rFonts w:hint="eastAsia" w:asciiTheme="minorEastAsia" w:hAnsiTheme="minorEastAsia" w:eastAsiaTheme="minorEastAsia" w:cstheme="minorEastAsia"/>
                <w:color w:val="auto"/>
                <w:highlight w:val="none"/>
                <w:lang w:eastAsia="zh-CN"/>
              </w:rPr>
              <w:t>目</w:t>
            </w:r>
          </w:p>
        </w:tc>
      </w:tr>
      <w:tr w14:paraId="7FE442B6">
        <w:tblPrEx>
          <w:tblCellMar>
            <w:top w:w="0" w:type="dxa"/>
            <w:left w:w="108" w:type="dxa"/>
            <w:bottom w:w="0" w:type="dxa"/>
            <w:right w:w="108" w:type="dxa"/>
          </w:tblCellMar>
        </w:tblPrEx>
        <w:trPr>
          <w:trHeight w:val="628" w:hRule="atLeast"/>
          <w:jc w:val="center"/>
        </w:trPr>
        <w:tc>
          <w:tcPr>
            <w:tcW w:w="4699" w:type="dxa"/>
            <w:tcBorders>
              <w:top w:val="single" w:color="000000" w:sz="6" w:space="0"/>
              <w:left w:val="single" w:color="000000" w:sz="6" w:space="0"/>
              <w:bottom w:val="single" w:color="000000" w:sz="6" w:space="0"/>
              <w:right w:val="single" w:color="000000" w:sz="6" w:space="0"/>
              <w:tl2br w:val="nil"/>
              <w:tr2bl w:val="nil"/>
            </w:tcBorders>
            <w:vAlign w:val="center"/>
          </w:tcPr>
          <w:p w14:paraId="548A1BEF">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0&lt;</w:t>
            </w:r>
            <w:r>
              <w:rPr>
                <w:rFonts w:hint="eastAsia" w:asciiTheme="minorEastAsia" w:hAnsiTheme="minorEastAsia" w:eastAsiaTheme="minorEastAsia" w:cstheme="minorEastAsia"/>
                <w:b/>
                <w:bCs/>
                <w:color w:val="auto"/>
                <w:highlight w:val="none"/>
              </w:rPr>
              <w:t>项目预算金额</w:t>
            </w:r>
            <w:r>
              <w:rPr>
                <w:rFonts w:hint="eastAsia" w:asciiTheme="minorEastAsia" w:hAnsiTheme="minorEastAsia" w:eastAsiaTheme="minorEastAsia" w:cstheme="minorEastAsia"/>
                <w:color w:val="auto"/>
                <w:highlight w:val="none"/>
              </w:rPr>
              <w:t>≤50</w:t>
            </w:r>
          </w:p>
        </w:tc>
        <w:tc>
          <w:tcPr>
            <w:tcW w:w="4700" w:type="dxa"/>
            <w:tcBorders>
              <w:top w:val="single" w:color="000000" w:sz="6" w:space="0"/>
              <w:left w:val="single" w:color="000000" w:sz="6" w:space="0"/>
              <w:bottom w:val="single" w:color="000000" w:sz="6" w:space="0"/>
              <w:right w:val="single" w:color="000000" w:sz="6" w:space="0"/>
              <w:tl2br w:val="nil"/>
              <w:tr2bl w:val="nil"/>
            </w:tcBorders>
            <w:vAlign w:val="center"/>
          </w:tcPr>
          <w:p w14:paraId="46C071DF">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6000元/项</w:t>
            </w:r>
            <w:r>
              <w:rPr>
                <w:rFonts w:hint="eastAsia" w:asciiTheme="minorEastAsia" w:hAnsiTheme="minorEastAsia" w:eastAsiaTheme="minorEastAsia" w:cstheme="minorEastAsia"/>
                <w:color w:val="auto"/>
                <w:highlight w:val="none"/>
                <w:lang w:eastAsia="zh-CN"/>
              </w:rPr>
              <w:t>目</w:t>
            </w:r>
          </w:p>
        </w:tc>
      </w:tr>
      <w:bookmarkEnd w:id="283"/>
      <w:bookmarkEnd w:id="284"/>
      <w:bookmarkEnd w:id="285"/>
    </w:tbl>
    <w:p w14:paraId="63294013">
      <w:pPr>
        <w:numPr>
          <w:ilvl w:val="1"/>
          <w:numId w:val="1"/>
        </w:numPr>
        <w:spacing w:line="360" w:lineRule="auto"/>
        <w:ind w:left="1134" w:hanging="709"/>
        <w:rPr>
          <w:rFonts w:ascii="宋体" w:hAnsi="宋体" w:cs="宋体"/>
          <w:color w:val="auto"/>
          <w:highlight w:val="none"/>
        </w:rPr>
      </w:pPr>
      <w:bookmarkStart w:id="286" w:name="_Toc478741154"/>
      <w:bookmarkStart w:id="287" w:name="_Toc528659871"/>
      <w:bookmarkStart w:id="288" w:name="_Toc500260835"/>
      <w:bookmarkStart w:id="289" w:name="_Toc513112136"/>
      <w:bookmarkStart w:id="290" w:name="_Toc535418292"/>
      <w:bookmarkStart w:id="291" w:name="_Toc475462187"/>
      <w:bookmarkStart w:id="292" w:name="_Toc9687"/>
      <w:bookmarkStart w:id="293" w:name="_Toc475456324"/>
      <w:bookmarkStart w:id="294" w:name="_Toc513630920"/>
      <w:bookmarkStart w:id="295" w:name="_Toc508619393"/>
      <w:bookmarkStart w:id="296" w:name="_Toc511916090"/>
      <w:bookmarkStart w:id="297" w:name="_Toc26827"/>
      <w:bookmarkStart w:id="298" w:name="_Toc508036055"/>
      <w:bookmarkStart w:id="299" w:name="_Toc9645"/>
      <w:bookmarkStart w:id="300" w:name="_Toc535854322"/>
      <w:bookmarkStart w:id="301" w:name="_Toc475463025"/>
      <w:r>
        <w:rPr>
          <w:rFonts w:hint="eastAsia" w:ascii="宋体" w:hAnsi="宋体" w:cs="宋体"/>
          <w:color w:val="auto"/>
          <w:highlight w:val="none"/>
        </w:rPr>
        <w:t>遴选文件的澄清和修改</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30D826E">
      <w:pPr>
        <w:numPr>
          <w:ilvl w:val="2"/>
          <w:numId w:val="1"/>
        </w:numPr>
        <w:spacing w:line="360" w:lineRule="auto"/>
        <w:ind w:left="0" w:firstLine="540"/>
        <w:rPr>
          <w:rFonts w:ascii="宋体" w:hAnsi="宋体" w:cs="宋体"/>
          <w:color w:val="auto"/>
          <w:highlight w:val="none"/>
        </w:rPr>
      </w:pPr>
      <w:bookmarkStart w:id="302" w:name="_Toc500260836"/>
      <w:bookmarkStart w:id="303" w:name="_Toc478741155"/>
      <w:bookmarkStart w:id="304" w:name="_Toc475456325"/>
      <w:bookmarkStart w:id="305" w:name="_Toc475462188"/>
      <w:bookmarkStart w:id="306" w:name="_Toc475463026"/>
      <w:bookmarkStart w:id="307" w:name="_Toc24137"/>
      <w:bookmarkStart w:id="308" w:name="_Toc17271"/>
      <w:bookmarkStart w:id="309" w:name="_Toc513112137"/>
      <w:bookmarkStart w:id="310" w:name="_Toc528659872"/>
      <w:bookmarkStart w:id="311" w:name="_Toc535854323"/>
      <w:bookmarkStart w:id="312" w:name="_Toc535418293"/>
      <w:bookmarkStart w:id="313" w:name="_Toc3977"/>
      <w:bookmarkStart w:id="314" w:name="_Toc513630921"/>
      <w:bookmarkStart w:id="315" w:name="_Toc511916091"/>
      <w:bookmarkStart w:id="316" w:name="_Toc508619394"/>
      <w:bookmarkStart w:id="317" w:name="_Toc508036056"/>
      <w:r>
        <w:rPr>
          <w:rFonts w:hint="eastAsia"/>
          <w:color w:val="auto"/>
          <w:highlight w:val="none"/>
        </w:rPr>
        <w:t>经采购人同意，</w:t>
      </w:r>
      <w:r>
        <w:rPr>
          <w:rFonts w:hint="eastAsia" w:ascii="宋体" w:hAnsi="宋体" w:cs="宋体"/>
          <w:color w:val="auto"/>
          <w:highlight w:val="none"/>
        </w:rPr>
        <w:t>采购代理机构对遴选文件进行必要的澄清或者修改的，</w:t>
      </w:r>
      <w:bookmarkEnd w:id="302"/>
      <w:bookmarkEnd w:id="303"/>
      <w:bookmarkEnd w:id="304"/>
      <w:bookmarkEnd w:id="305"/>
      <w:bookmarkEnd w:id="306"/>
      <w:r>
        <w:rPr>
          <w:rFonts w:hint="eastAsia" w:ascii="宋体" w:hAnsi="宋体" w:cs="宋体"/>
          <w:color w:val="auto"/>
          <w:highlight w:val="none"/>
        </w:rPr>
        <w:t>按规定在相关媒体上发布公告，</w:t>
      </w:r>
      <w:r>
        <w:rPr>
          <w:color w:val="auto"/>
          <w:highlight w:val="none"/>
        </w:rPr>
        <w:t>澄清或者修改的内容可能影响</w:t>
      </w:r>
      <w:r>
        <w:rPr>
          <w:rFonts w:hint="eastAsia"/>
          <w:color w:val="auto"/>
          <w:highlight w:val="none"/>
        </w:rPr>
        <w:t>参选</w:t>
      </w:r>
      <w:r>
        <w:rPr>
          <w:color w:val="auto"/>
          <w:highlight w:val="none"/>
        </w:rPr>
        <w:t>文件编制的，更正公告在</w:t>
      </w:r>
      <w:r>
        <w:rPr>
          <w:rFonts w:hint="eastAsia"/>
          <w:color w:val="auto"/>
          <w:highlight w:val="none"/>
          <w:lang w:eastAsia="zh-CN"/>
        </w:rPr>
        <w:t>参选</w:t>
      </w:r>
      <w:r>
        <w:rPr>
          <w:color w:val="auto"/>
          <w:highlight w:val="none"/>
        </w:rPr>
        <w:t>截止时间至少</w:t>
      </w:r>
      <w:r>
        <w:rPr>
          <w:rFonts w:hint="eastAsia"/>
          <w:color w:val="auto"/>
          <w:highlight w:val="none"/>
        </w:rPr>
        <w:t>3</w:t>
      </w:r>
      <w:r>
        <w:rPr>
          <w:rFonts w:hint="eastAsia"/>
          <w:color w:val="auto"/>
          <w:highlight w:val="none"/>
          <w:lang w:eastAsia="zh-CN"/>
        </w:rPr>
        <w:t>个工作</w:t>
      </w:r>
      <w:r>
        <w:rPr>
          <w:color w:val="auto"/>
          <w:highlight w:val="none"/>
        </w:rPr>
        <w:t>日前发出；不足</w:t>
      </w:r>
      <w:r>
        <w:rPr>
          <w:rFonts w:hint="eastAsia"/>
          <w:color w:val="auto"/>
          <w:highlight w:val="none"/>
        </w:rPr>
        <w:t>3</w:t>
      </w:r>
      <w:r>
        <w:rPr>
          <w:rFonts w:hint="eastAsia"/>
          <w:color w:val="auto"/>
          <w:highlight w:val="none"/>
          <w:lang w:val="en-US" w:eastAsia="zh-CN"/>
        </w:rPr>
        <w:t>个工作</w:t>
      </w:r>
      <w:r>
        <w:rPr>
          <w:color w:val="auto"/>
          <w:highlight w:val="none"/>
        </w:rPr>
        <w:t>日的，代理机构顺延提交</w:t>
      </w:r>
      <w:r>
        <w:rPr>
          <w:rFonts w:hint="eastAsia"/>
          <w:color w:val="auto"/>
          <w:highlight w:val="none"/>
        </w:rPr>
        <w:t>参选</w:t>
      </w:r>
      <w:r>
        <w:rPr>
          <w:color w:val="auto"/>
          <w:highlight w:val="none"/>
        </w:rPr>
        <w:t>文件截止时间。</w:t>
      </w:r>
      <w:bookmarkEnd w:id="307"/>
      <w:bookmarkEnd w:id="308"/>
      <w:bookmarkEnd w:id="309"/>
      <w:bookmarkEnd w:id="310"/>
      <w:bookmarkEnd w:id="311"/>
      <w:bookmarkEnd w:id="312"/>
      <w:bookmarkEnd w:id="313"/>
      <w:bookmarkEnd w:id="314"/>
      <w:bookmarkEnd w:id="315"/>
      <w:bookmarkEnd w:id="316"/>
      <w:bookmarkEnd w:id="317"/>
    </w:p>
    <w:p w14:paraId="50E74E24">
      <w:pPr>
        <w:numPr>
          <w:ilvl w:val="2"/>
          <w:numId w:val="1"/>
        </w:numPr>
        <w:spacing w:line="360" w:lineRule="auto"/>
        <w:ind w:left="0" w:firstLine="540"/>
        <w:rPr>
          <w:rFonts w:ascii="宋体" w:hAnsi="宋体" w:cs="宋体"/>
          <w:color w:val="auto"/>
          <w:highlight w:val="none"/>
        </w:rPr>
      </w:pPr>
      <w:r>
        <w:rPr>
          <w:rFonts w:hint="eastAsia" w:ascii="宋体" w:hAnsi="宋体" w:cs="宋体"/>
          <w:color w:val="auto"/>
          <w:highlight w:val="none"/>
        </w:rPr>
        <w:t xml:space="preserve"> 更正公告及其所发布的内容或信息（包括但不限于：遴选文件的澄清或修改、现场考察或答疑会的有关事宜等）作为遴选文件的组成部分，对参选人具有约束力。一经在指定媒体上发布后，更正公告将作为通知所有遴选文件收受人的书面形式。</w:t>
      </w:r>
    </w:p>
    <w:p w14:paraId="17F1453C">
      <w:pPr>
        <w:numPr>
          <w:ilvl w:val="2"/>
          <w:numId w:val="1"/>
        </w:numPr>
        <w:spacing w:line="360" w:lineRule="auto"/>
        <w:ind w:left="0" w:firstLine="540"/>
        <w:rPr>
          <w:rFonts w:ascii="宋体" w:hAnsi="宋体" w:cs="宋体"/>
          <w:color w:val="auto"/>
          <w:highlight w:val="none"/>
        </w:rPr>
      </w:pPr>
      <w:r>
        <w:rPr>
          <w:rFonts w:hint="eastAsia" w:ascii="宋体" w:hAnsi="宋体" w:cs="宋体"/>
          <w:color w:val="auto"/>
          <w:highlight w:val="none"/>
        </w:rPr>
        <w:t>如更正公告有重新发布电子遴选文件的，参选人应登录</w:t>
      </w:r>
      <w:r>
        <w:rPr>
          <w:rFonts w:hint="eastAsia" w:ascii="宋体" w:hAnsi="宋体" w:cs="宋体"/>
          <w:b/>
          <w:color w:val="auto"/>
          <w:highlight w:val="none"/>
          <w:u w:val="single"/>
          <w:lang w:val="en-US" w:eastAsia="zh-CN"/>
        </w:rPr>
        <w:t>广州中经招标有限公司官网（http://www.gzbidding.cn）</w:t>
      </w:r>
      <w:r>
        <w:rPr>
          <w:rFonts w:hint="eastAsia" w:ascii="宋体" w:hAnsi="宋体" w:cs="宋体"/>
          <w:color w:val="auto"/>
          <w:highlight w:val="none"/>
        </w:rPr>
        <w:t>下载最新发布的电子遴选文件制作参选文件。</w:t>
      </w:r>
    </w:p>
    <w:p w14:paraId="435D5C24">
      <w:pPr>
        <w:numPr>
          <w:ilvl w:val="2"/>
          <w:numId w:val="1"/>
        </w:numPr>
        <w:spacing w:line="360" w:lineRule="auto"/>
        <w:ind w:left="0" w:firstLine="540"/>
        <w:rPr>
          <w:rFonts w:ascii="宋体" w:hAnsi="宋体" w:cs="宋体"/>
          <w:color w:val="auto"/>
          <w:highlight w:val="none"/>
        </w:rPr>
      </w:pPr>
      <w:r>
        <w:rPr>
          <w:rFonts w:hint="eastAsia" w:ascii="宋体" w:hAnsi="宋体" w:cs="宋体"/>
          <w:color w:val="auto"/>
          <w:highlight w:val="none"/>
        </w:rPr>
        <w:t xml:space="preserve"> 参选人在规定的时间内未对遴选文件提出疑问、质疑或要求澄清的，将视其为无异议。对参选文件中描述有歧义或前后不一致的地方，评审委员会有权进行评判，但对同一条款的评判应适用于每个参选人。</w:t>
      </w:r>
    </w:p>
    <w:p w14:paraId="2C040C69">
      <w:pPr>
        <w:numPr>
          <w:ilvl w:val="1"/>
          <w:numId w:val="1"/>
        </w:numPr>
        <w:spacing w:line="360" w:lineRule="auto"/>
        <w:ind w:left="1134" w:hanging="709"/>
        <w:rPr>
          <w:rFonts w:ascii="宋体" w:hAnsi="宋体" w:cs="宋体"/>
          <w:color w:val="auto"/>
          <w:highlight w:val="none"/>
        </w:rPr>
      </w:pPr>
      <w:bookmarkStart w:id="318" w:name="_Toc41884688"/>
      <w:bookmarkStart w:id="319" w:name="_Toc101771361"/>
      <w:bookmarkStart w:id="320" w:name="_Toc528659877"/>
      <w:bookmarkStart w:id="321" w:name="_Toc98580278"/>
      <w:bookmarkStart w:id="322" w:name="_Toc475463032"/>
      <w:bookmarkStart w:id="323" w:name="_Toc98578996"/>
      <w:bookmarkStart w:id="324" w:name="_Toc101843114"/>
      <w:bookmarkStart w:id="325" w:name="_Toc7262"/>
      <w:bookmarkStart w:id="326" w:name="_Toc134956122"/>
      <w:bookmarkStart w:id="327" w:name="_Toc511916096"/>
      <w:bookmarkStart w:id="328" w:name="_Toc508619399"/>
      <w:bookmarkStart w:id="329" w:name="_Toc41723918"/>
      <w:bookmarkStart w:id="330" w:name="_Toc101951247"/>
      <w:bookmarkStart w:id="331" w:name="_Toc98579595"/>
      <w:bookmarkStart w:id="332" w:name="_Toc31650"/>
      <w:bookmarkStart w:id="333" w:name="_Toc98579054"/>
      <w:bookmarkStart w:id="334" w:name="_Toc50276142"/>
      <w:bookmarkStart w:id="335" w:name="_Toc508036061"/>
      <w:bookmarkStart w:id="336" w:name="_Toc42394658"/>
      <w:bookmarkStart w:id="337" w:name="_Toc535854328"/>
      <w:bookmarkStart w:id="338" w:name="_Toc42313156"/>
      <w:bookmarkStart w:id="339" w:name="_Toc101775114"/>
      <w:bookmarkStart w:id="340" w:name="_Toc513630926"/>
      <w:bookmarkStart w:id="341" w:name="_Toc475456331"/>
      <w:bookmarkStart w:id="342" w:name="_Toc535418298"/>
      <w:bookmarkStart w:id="343" w:name="_Toc478741161"/>
      <w:bookmarkStart w:id="344" w:name="_Toc513112142"/>
      <w:bookmarkStart w:id="345" w:name="_Toc500260842"/>
      <w:bookmarkStart w:id="346" w:name="_Toc475462194"/>
      <w:bookmarkStart w:id="347" w:name="_Toc20352"/>
      <w:bookmarkStart w:id="348" w:name="_Toc42394501"/>
      <w:r>
        <w:rPr>
          <w:rFonts w:hint="eastAsia" w:ascii="宋体" w:hAnsi="宋体" w:cs="宋体"/>
          <w:color w:val="auto"/>
          <w:highlight w:val="none"/>
        </w:rPr>
        <w:t>纪律与保密事项</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40642AD">
      <w:pPr>
        <w:numPr>
          <w:ilvl w:val="2"/>
          <w:numId w:val="1"/>
        </w:numPr>
        <w:spacing w:line="360" w:lineRule="auto"/>
        <w:ind w:left="0" w:firstLine="540"/>
        <w:rPr>
          <w:rFonts w:ascii="宋体" w:hAnsi="宋体" w:cs="宋体"/>
          <w:color w:val="auto"/>
          <w:highlight w:val="none"/>
        </w:rPr>
      </w:pPr>
      <w:bookmarkStart w:id="349" w:name="_Toc511916097"/>
      <w:bookmarkStart w:id="350" w:name="_Toc508036062"/>
      <w:bookmarkStart w:id="351" w:name="_Toc475463033"/>
      <w:bookmarkStart w:id="352" w:name="_Toc528659878"/>
      <w:bookmarkStart w:id="353" w:name="_Toc508619400"/>
      <w:bookmarkStart w:id="354" w:name="_Toc513112143"/>
      <w:bookmarkStart w:id="355" w:name="_Toc500260843"/>
      <w:bookmarkStart w:id="356" w:name="_Toc18219"/>
      <w:bookmarkStart w:id="357" w:name="_Toc535854329"/>
      <w:bookmarkStart w:id="358" w:name="_Toc475462195"/>
      <w:bookmarkStart w:id="359" w:name="_Toc8503"/>
      <w:bookmarkStart w:id="360" w:name="_Toc535418299"/>
      <w:bookmarkStart w:id="361" w:name="_Toc478741162"/>
      <w:bookmarkStart w:id="362" w:name="_Toc475456332"/>
      <w:bookmarkStart w:id="363" w:name="_Toc17789"/>
      <w:bookmarkStart w:id="364" w:name="_Toc513630927"/>
      <w:r>
        <w:rPr>
          <w:rFonts w:hint="eastAsia" w:ascii="宋体" w:hAnsi="宋体" w:cs="宋体"/>
          <w:color w:val="auto"/>
          <w:highlight w:val="none"/>
        </w:rPr>
        <w:t>参选人不得相互串通参选报价，不得妨碍其他参选人的公平竞争，不得损害采购人或其他参选人的合法权益，参选人不得以向采购人、评审委员会成员行贿或者采取其他不正当手段谋取中选。</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4F8E120">
      <w:pPr>
        <w:numPr>
          <w:ilvl w:val="2"/>
          <w:numId w:val="1"/>
        </w:numPr>
        <w:spacing w:line="360" w:lineRule="auto"/>
        <w:ind w:left="0" w:firstLine="540"/>
        <w:rPr>
          <w:rFonts w:ascii="宋体" w:hAnsi="宋体" w:cs="宋体"/>
          <w:color w:val="auto"/>
          <w:highlight w:val="none"/>
        </w:rPr>
      </w:pPr>
      <w:bookmarkStart w:id="365" w:name="_Toc475462196"/>
      <w:bookmarkStart w:id="366" w:name="_Toc475463034"/>
      <w:bookmarkStart w:id="367" w:name="_Toc475456333"/>
      <w:bookmarkStart w:id="368" w:name="_Toc500260844"/>
      <w:bookmarkStart w:id="369" w:name="_Toc478741163"/>
      <w:bookmarkStart w:id="370" w:name="_Toc563"/>
      <w:bookmarkStart w:id="371" w:name="_Toc535418300"/>
      <w:bookmarkStart w:id="372" w:name="_Toc513630928"/>
      <w:bookmarkStart w:id="373" w:name="_Toc535854330"/>
      <w:bookmarkStart w:id="374" w:name="_Toc508619401"/>
      <w:bookmarkStart w:id="375" w:name="_Toc508036063"/>
      <w:bookmarkStart w:id="376" w:name="_Toc513112144"/>
      <w:bookmarkStart w:id="377" w:name="_Toc528659879"/>
      <w:bookmarkStart w:id="378" w:name="_Toc6204"/>
      <w:bookmarkStart w:id="379" w:name="_Toc16124"/>
      <w:bookmarkStart w:id="380" w:name="_Toc511916098"/>
      <w:r>
        <w:rPr>
          <w:rFonts w:hint="eastAsia" w:ascii="宋体" w:hAnsi="宋体" w:cs="宋体"/>
          <w:color w:val="auto"/>
          <w:highlight w:val="none"/>
        </w:rPr>
        <w:t>在确定中选人之前，</w:t>
      </w:r>
      <w:bookmarkEnd w:id="365"/>
      <w:bookmarkEnd w:id="366"/>
      <w:bookmarkEnd w:id="367"/>
      <w:bookmarkEnd w:id="368"/>
      <w:bookmarkEnd w:id="369"/>
      <w:r>
        <w:rPr>
          <w:rFonts w:hint="eastAsia" w:ascii="宋体" w:hAnsi="宋体" w:cs="宋体"/>
          <w:color w:val="auto"/>
          <w:highlight w:val="none"/>
        </w:rPr>
        <w:t>参选人不得与采购人就参选价格、参选方案等实质性内容进行谈判，也不得私下接触评审委员会成员。</w:t>
      </w:r>
      <w:bookmarkEnd w:id="370"/>
      <w:bookmarkEnd w:id="371"/>
      <w:bookmarkEnd w:id="372"/>
      <w:bookmarkEnd w:id="373"/>
      <w:bookmarkEnd w:id="374"/>
      <w:bookmarkEnd w:id="375"/>
      <w:bookmarkEnd w:id="376"/>
      <w:bookmarkEnd w:id="377"/>
      <w:bookmarkEnd w:id="378"/>
      <w:bookmarkEnd w:id="379"/>
      <w:bookmarkEnd w:id="380"/>
    </w:p>
    <w:p w14:paraId="34A6C304">
      <w:pPr>
        <w:numPr>
          <w:ilvl w:val="2"/>
          <w:numId w:val="1"/>
        </w:numPr>
        <w:spacing w:line="360" w:lineRule="auto"/>
        <w:ind w:left="0" w:firstLine="540"/>
        <w:rPr>
          <w:rFonts w:ascii="宋体" w:hAnsi="宋体" w:cs="宋体"/>
          <w:color w:val="auto"/>
          <w:highlight w:val="none"/>
        </w:rPr>
      </w:pPr>
      <w:bookmarkStart w:id="381" w:name="_Toc478741164"/>
      <w:bookmarkStart w:id="382" w:name="_Toc475463035"/>
      <w:bookmarkStart w:id="383" w:name="_Toc475456334"/>
      <w:bookmarkStart w:id="384" w:name="_Toc475462197"/>
      <w:bookmarkStart w:id="385" w:name="_Toc500260845"/>
      <w:bookmarkStart w:id="386" w:name="_Toc535854331"/>
      <w:bookmarkStart w:id="387" w:name="_Toc511916099"/>
      <w:bookmarkStart w:id="388" w:name="_Toc508619402"/>
      <w:bookmarkStart w:id="389" w:name="_Toc513112145"/>
      <w:bookmarkStart w:id="390" w:name="_Toc10466"/>
      <w:bookmarkStart w:id="391" w:name="_Toc535418301"/>
      <w:bookmarkStart w:id="392" w:name="_Toc7516"/>
      <w:bookmarkStart w:id="393" w:name="_Toc528659880"/>
      <w:bookmarkStart w:id="394" w:name="_Toc513630929"/>
      <w:bookmarkStart w:id="395" w:name="_Toc508036064"/>
      <w:bookmarkStart w:id="396" w:name="_Toc18144"/>
      <w:r>
        <w:rPr>
          <w:rFonts w:hint="eastAsia" w:ascii="宋体" w:hAnsi="宋体" w:cs="宋体"/>
          <w:color w:val="auto"/>
          <w:highlight w:val="none"/>
        </w:rPr>
        <w:t>在确定中选人之前，</w:t>
      </w:r>
      <w:bookmarkEnd w:id="381"/>
      <w:bookmarkEnd w:id="382"/>
      <w:bookmarkEnd w:id="383"/>
      <w:bookmarkEnd w:id="384"/>
      <w:bookmarkEnd w:id="385"/>
      <w:r>
        <w:rPr>
          <w:rFonts w:hint="eastAsia" w:ascii="宋体" w:hAnsi="宋体" w:cs="宋体"/>
          <w:color w:val="auto"/>
          <w:highlight w:val="none"/>
        </w:rPr>
        <w:t>参选人试图在参选文件审查、澄清、比较和评价时对评审委员会、采购人和采购代理机构施加任何影响都可能导致其参选无效。</w:t>
      </w:r>
      <w:bookmarkEnd w:id="386"/>
      <w:bookmarkEnd w:id="387"/>
      <w:bookmarkEnd w:id="388"/>
      <w:bookmarkEnd w:id="389"/>
      <w:bookmarkEnd w:id="390"/>
      <w:bookmarkEnd w:id="391"/>
      <w:bookmarkEnd w:id="392"/>
      <w:bookmarkEnd w:id="393"/>
      <w:bookmarkEnd w:id="394"/>
      <w:bookmarkEnd w:id="395"/>
      <w:bookmarkEnd w:id="396"/>
    </w:p>
    <w:p w14:paraId="5886356B">
      <w:pPr>
        <w:numPr>
          <w:ilvl w:val="2"/>
          <w:numId w:val="1"/>
        </w:numPr>
        <w:spacing w:line="360" w:lineRule="auto"/>
        <w:ind w:left="0" w:firstLine="540"/>
        <w:rPr>
          <w:rFonts w:ascii="宋体" w:hAnsi="宋体" w:cs="宋体"/>
          <w:color w:val="auto"/>
          <w:highlight w:val="none"/>
        </w:rPr>
      </w:pPr>
      <w:bookmarkStart w:id="397" w:name="_Toc478741165"/>
      <w:bookmarkStart w:id="398" w:name="_Toc475456335"/>
      <w:bookmarkStart w:id="399" w:name="_Toc475462198"/>
      <w:bookmarkStart w:id="400" w:name="_Toc475463036"/>
      <w:bookmarkStart w:id="401" w:name="_Toc500260846"/>
      <w:bookmarkStart w:id="402" w:name="_Toc535418302"/>
      <w:bookmarkStart w:id="403" w:name="_Toc513630930"/>
      <w:bookmarkStart w:id="404" w:name="_Toc508619403"/>
      <w:bookmarkStart w:id="405" w:name="_Toc535854332"/>
      <w:bookmarkStart w:id="406" w:name="_Toc27517"/>
      <w:bookmarkStart w:id="407" w:name="_Toc528659881"/>
      <w:bookmarkStart w:id="408" w:name="_Toc25939"/>
      <w:bookmarkStart w:id="409" w:name="_Toc10048"/>
      <w:bookmarkStart w:id="410" w:name="_Toc513112146"/>
      <w:bookmarkStart w:id="411" w:name="_Toc511916100"/>
      <w:bookmarkStart w:id="412" w:name="_Toc508036065"/>
      <w:r>
        <w:rPr>
          <w:rFonts w:hint="eastAsia" w:ascii="宋体" w:hAnsi="宋体" w:cs="宋体"/>
          <w:color w:val="auto"/>
          <w:highlight w:val="none"/>
        </w:rPr>
        <w:t>获得本遴选文件者，</w:t>
      </w:r>
      <w:bookmarkEnd w:id="397"/>
      <w:bookmarkEnd w:id="398"/>
      <w:bookmarkEnd w:id="399"/>
      <w:bookmarkEnd w:id="400"/>
      <w:bookmarkEnd w:id="401"/>
      <w:r>
        <w:rPr>
          <w:rFonts w:hint="eastAsia" w:ascii="宋体" w:hAnsi="宋体" w:cs="宋体"/>
          <w:color w:val="auto"/>
          <w:highlight w:val="none"/>
        </w:rPr>
        <w:t>不得将遴选文件用作本次参选以外的任何用途，若有要求，开启后，参选人应归还遴选文件中的保密文件和资料。</w:t>
      </w:r>
      <w:bookmarkEnd w:id="402"/>
      <w:bookmarkEnd w:id="403"/>
      <w:bookmarkEnd w:id="404"/>
      <w:bookmarkEnd w:id="405"/>
      <w:bookmarkEnd w:id="406"/>
      <w:bookmarkEnd w:id="407"/>
      <w:bookmarkEnd w:id="408"/>
      <w:bookmarkEnd w:id="409"/>
      <w:bookmarkEnd w:id="410"/>
      <w:bookmarkEnd w:id="411"/>
      <w:bookmarkEnd w:id="412"/>
    </w:p>
    <w:p w14:paraId="1DBC50B8">
      <w:pPr>
        <w:numPr>
          <w:ilvl w:val="2"/>
          <w:numId w:val="1"/>
        </w:numPr>
        <w:spacing w:line="360" w:lineRule="auto"/>
        <w:ind w:left="0" w:firstLine="540"/>
        <w:rPr>
          <w:rFonts w:ascii="宋体" w:hAnsi="宋体" w:cs="宋体"/>
          <w:color w:val="auto"/>
          <w:highlight w:val="none"/>
        </w:rPr>
      </w:pPr>
      <w:bookmarkStart w:id="413" w:name="_Toc475462199"/>
      <w:bookmarkStart w:id="414" w:name="_Toc475463037"/>
      <w:bookmarkStart w:id="415" w:name="_Toc500260847"/>
      <w:bookmarkStart w:id="416" w:name="_Toc475456336"/>
      <w:bookmarkStart w:id="417" w:name="_Toc478741166"/>
      <w:bookmarkStart w:id="418" w:name="_Toc513112147"/>
      <w:bookmarkStart w:id="419" w:name="_Toc513630931"/>
      <w:bookmarkStart w:id="420" w:name="_Toc535854333"/>
      <w:bookmarkStart w:id="421" w:name="_Toc22805"/>
      <w:bookmarkStart w:id="422" w:name="_Toc508036066"/>
      <w:bookmarkStart w:id="423" w:name="_Toc27116"/>
      <w:bookmarkStart w:id="424" w:name="_Toc9959"/>
      <w:bookmarkStart w:id="425" w:name="_Toc535418303"/>
      <w:bookmarkStart w:id="426" w:name="_Toc508619404"/>
      <w:bookmarkStart w:id="427" w:name="_Toc528659882"/>
      <w:bookmarkStart w:id="428" w:name="_Toc511916101"/>
      <w:r>
        <w:rPr>
          <w:rFonts w:hint="eastAsia" w:ascii="宋体" w:hAnsi="宋体" w:cs="宋体"/>
          <w:color w:val="auto"/>
          <w:highlight w:val="none"/>
        </w:rPr>
        <w:t>由采购人向</w:t>
      </w:r>
      <w:bookmarkEnd w:id="413"/>
      <w:bookmarkEnd w:id="414"/>
      <w:bookmarkEnd w:id="415"/>
      <w:bookmarkEnd w:id="416"/>
      <w:bookmarkEnd w:id="417"/>
      <w:r>
        <w:rPr>
          <w:rFonts w:hint="eastAsia" w:ascii="宋体" w:hAnsi="宋体" w:cs="宋体"/>
          <w:color w:val="auto"/>
          <w:highlight w:val="none"/>
        </w:rPr>
        <w:t>参选人提供的图纸、详细资料、样品、模型、模件和所有其它资料，均为保密资料，仅被用于它所规定的用途。除非得到采购人的同意，不能向任何第三方透露。开启结束后，应采购人要求，参选人应归还所有从采购人处获得的保密资料。</w:t>
      </w:r>
      <w:bookmarkEnd w:id="418"/>
      <w:bookmarkEnd w:id="419"/>
      <w:bookmarkEnd w:id="420"/>
      <w:bookmarkEnd w:id="421"/>
      <w:bookmarkEnd w:id="422"/>
      <w:bookmarkEnd w:id="423"/>
      <w:bookmarkEnd w:id="424"/>
      <w:bookmarkEnd w:id="425"/>
      <w:bookmarkEnd w:id="426"/>
      <w:bookmarkEnd w:id="427"/>
      <w:bookmarkEnd w:id="428"/>
    </w:p>
    <w:p w14:paraId="65DA9F86">
      <w:pPr>
        <w:pStyle w:val="4"/>
        <w:numPr>
          <w:ilvl w:val="0"/>
          <w:numId w:val="1"/>
        </w:numPr>
        <w:spacing w:line="360" w:lineRule="auto"/>
        <w:ind w:left="567" w:hanging="27"/>
        <w:jc w:val="left"/>
        <w:rPr>
          <w:rFonts w:hAnsi="宋体" w:cs="宋体"/>
          <w:b/>
          <w:bCs/>
          <w:color w:val="auto"/>
          <w:sz w:val="21"/>
          <w:szCs w:val="21"/>
          <w:highlight w:val="none"/>
        </w:rPr>
      </w:pPr>
      <w:bookmarkStart w:id="429" w:name="_Toc535854335"/>
      <w:bookmarkStart w:id="430" w:name="_Toc508036069"/>
      <w:bookmarkStart w:id="431" w:name="_Toc475462202"/>
      <w:bookmarkStart w:id="432" w:name="_Toc475463040"/>
      <w:bookmarkStart w:id="433" w:name="_Toc508619407"/>
      <w:bookmarkStart w:id="434" w:name="_Toc10274"/>
      <w:bookmarkStart w:id="435" w:name="_Toc134956124"/>
      <w:bookmarkStart w:id="436" w:name="_Toc475456339"/>
      <w:bookmarkStart w:id="437" w:name="_Toc500260850"/>
      <w:bookmarkStart w:id="438" w:name="_Toc23847"/>
      <w:bookmarkStart w:id="439" w:name="_Toc13541"/>
      <w:bookmarkStart w:id="440" w:name="_Toc511916104"/>
      <w:bookmarkStart w:id="441" w:name="_Toc478741169"/>
      <w:bookmarkStart w:id="442" w:name="_Toc11959"/>
      <w:bookmarkStart w:id="443" w:name="_Toc535418306"/>
      <w:bookmarkStart w:id="444" w:name="_Toc513112150"/>
      <w:bookmarkStart w:id="445" w:name="_Toc8619"/>
      <w:bookmarkStart w:id="446" w:name="_Toc513630934"/>
      <w:bookmarkStart w:id="447" w:name="_Toc494188723"/>
      <w:bookmarkStart w:id="448" w:name="_Toc528659885"/>
      <w:bookmarkStart w:id="449" w:name="_Toc5250"/>
      <w:bookmarkStart w:id="450" w:name="_Toc103"/>
      <w:bookmarkStart w:id="451" w:name="_Toc30269"/>
      <w:bookmarkStart w:id="452" w:name="_Toc163"/>
      <w:bookmarkStart w:id="453" w:name="_Toc18271"/>
      <w:bookmarkStart w:id="454" w:name="_Toc101843115"/>
      <w:bookmarkStart w:id="455" w:name="_Toc101771362"/>
      <w:bookmarkStart w:id="456" w:name="_Toc101775115"/>
      <w:bookmarkStart w:id="457" w:name="_Toc101951248"/>
      <w:r>
        <w:rPr>
          <w:rFonts w:hint="eastAsia" w:hAnsi="宋体" w:cs="宋体"/>
          <w:b/>
          <w:bCs/>
          <w:color w:val="auto"/>
          <w:sz w:val="21"/>
          <w:szCs w:val="21"/>
          <w:highlight w:val="none"/>
        </w:rPr>
        <w:t>询问、</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Pr>
          <w:rFonts w:hint="eastAsia" w:hAnsi="宋体" w:cs="宋体"/>
          <w:b/>
          <w:bCs/>
          <w:color w:val="auto"/>
          <w:sz w:val="21"/>
          <w:szCs w:val="21"/>
          <w:highlight w:val="none"/>
        </w:rPr>
        <w:t>质疑</w:t>
      </w:r>
      <w:bookmarkEnd w:id="450"/>
      <w:bookmarkEnd w:id="451"/>
      <w:bookmarkEnd w:id="452"/>
      <w:bookmarkEnd w:id="453"/>
    </w:p>
    <w:p w14:paraId="06C6089B">
      <w:pPr>
        <w:numPr>
          <w:ilvl w:val="1"/>
          <w:numId w:val="1"/>
        </w:numPr>
        <w:tabs>
          <w:tab w:val="left" w:pos="210"/>
        </w:tabs>
        <w:spacing w:line="360" w:lineRule="auto"/>
        <w:ind w:left="0" w:firstLine="425"/>
        <w:rPr>
          <w:rFonts w:ascii="宋体" w:hAnsi="宋体" w:cs="宋体"/>
          <w:color w:val="auto"/>
          <w:highlight w:val="none"/>
          <w:lang w:val="en-GB"/>
        </w:rPr>
      </w:pPr>
      <w:bookmarkStart w:id="458" w:name="_Toc4053"/>
      <w:bookmarkStart w:id="459" w:name="_Toc508036070"/>
      <w:bookmarkStart w:id="460" w:name="_Toc7885"/>
      <w:bookmarkStart w:id="461" w:name="_Toc535854336"/>
      <w:bookmarkStart w:id="462" w:name="_Toc535418307"/>
      <w:bookmarkStart w:id="463" w:name="_Toc528659886"/>
      <w:bookmarkStart w:id="464" w:name="_Toc31534"/>
      <w:bookmarkStart w:id="465" w:name="_Toc508619408"/>
      <w:bookmarkStart w:id="466" w:name="_Toc513630935"/>
      <w:bookmarkStart w:id="467" w:name="_Toc513112151"/>
      <w:bookmarkStart w:id="468" w:name="_Toc511916105"/>
      <w:bookmarkStart w:id="469" w:name="_Toc134955411"/>
      <w:r>
        <w:rPr>
          <w:rFonts w:hint="eastAsia" w:ascii="宋体" w:hAnsi="宋体" w:cs="宋体"/>
          <w:color w:val="auto"/>
          <w:highlight w:val="none"/>
          <w:lang w:val="en-GB"/>
        </w:rPr>
        <w:t>询问</w:t>
      </w:r>
      <w:bookmarkEnd w:id="458"/>
      <w:bookmarkEnd w:id="459"/>
      <w:bookmarkEnd w:id="460"/>
      <w:bookmarkEnd w:id="461"/>
      <w:bookmarkEnd w:id="462"/>
      <w:bookmarkEnd w:id="463"/>
      <w:bookmarkEnd w:id="464"/>
      <w:bookmarkEnd w:id="465"/>
      <w:bookmarkEnd w:id="466"/>
      <w:bookmarkEnd w:id="467"/>
      <w:bookmarkEnd w:id="468"/>
    </w:p>
    <w:p w14:paraId="25D5F5E0">
      <w:pPr>
        <w:tabs>
          <w:tab w:val="left" w:pos="851"/>
        </w:tabs>
        <w:spacing w:line="360" w:lineRule="auto"/>
        <w:ind w:firstLine="420" w:firstLineChars="200"/>
        <w:rPr>
          <w:rFonts w:ascii="宋体" w:hAnsi="宋体" w:cs="宋体"/>
          <w:color w:val="auto"/>
          <w:highlight w:val="none"/>
        </w:rPr>
      </w:pPr>
      <w:bookmarkStart w:id="470" w:name="_Toc535854337"/>
      <w:bookmarkStart w:id="471" w:name="_Toc508619409"/>
      <w:bookmarkStart w:id="472" w:name="_Toc14354"/>
      <w:bookmarkStart w:id="473" w:name="_Toc511405351"/>
      <w:bookmarkStart w:id="474" w:name="_Toc15904"/>
      <w:bookmarkStart w:id="475" w:name="_Toc508036071"/>
      <w:bookmarkStart w:id="476" w:name="_Toc527625232"/>
      <w:bookmarkStart w:id="477" w:name="_Toc26826"/>
      <w:bookmarkStart w:id="478" w:name="_Toc525997268"/>
      <w:bookmarkStart w:id="479" w:name="_Toc530581102"/>
      <w:bookmarkStart w:id="480" w:name="_Toc512415885"/>
      <w:bookmarkStart w:id="481" w:name="_Toc28280"/>
      <w:r>
        <w:rPr>
          <w:rFonts w:hint="eastAsia" w:ascii="宋体" w:hAnsi="宋体" w:cs="宋体"/>
          <w:color w:val="auto"/>
          <w:highlight w:val="none"/>
        </w:rPr>
        <w:t>参选人对遴选文件、遴选过程和中选结果有疑问的，可以向采购代理机构提出询问，采购代理机构将及时做出答复，但答复的内容不涉及商业秘密。书面方式询问包括但不限于电子邮件、信函。</w:t>
      </w:r>
      <w:bookmarkEnd w:id="470"/>
      <w:bookmarkEnd w:id="471"/>
      <w:bookmarkEnd w:id="472"/>
      <w:bookmarkEnd w:id="473"/>
      <w:bookmarkEnd w:id="474"/>
      <w:bookmarkEnd w:id="475"/>
      <w:bookmarkEnd w:id="476"/>
      <w:bookmarkEnd w:id="477"/>
      <w:bookmarkEnd w:id="478"/>
      <w:bookmarkEnd w:id="479"/>
      <w:bookmarkEnd w:id="480"/>
      <w:bookmarkEnd w:id="481"/>
    </w:p>
    <w:p w14:paraId="4689F179">
      <w:pPr>
        <w:tabs>
          <w:tab w:val="left" w:pos="851"/>
        </w:tabs>
        <w:spacing w:line="360" w:lineRule="auto"/>
        <w:ind w:firstLine="420" w:firstLineChars="200"/>
        <w:rPr>
          <w:rFonts w:ascii="宋体" w:hAnsi="宋体" w:cs="宋体"/>
          <w:color w:val="auto"/>
          <w:highlight w:val="none"/>
        </w:rPr>
      </w:pPr>
      <w:bookmarkStart w:id="482" w:name="_Toc530581103"/>
      <w:bookmarkStart w:id="483" w:name="_Toc25718"/>
      <w:bookmarkStart w:id="484" w:name="_Toc9329"/>
      <w:bookmarkStart w:id="485" w:name="_Toc17019"/>
      <w:bookmarkStart w:id="486" w:name="_Toc527625233"/>
      <w:bookmarkStart w:id="487" w:name="_Toc535854338"/>
      <w:bookmarkStart w:id="488" w:name="_Toc17512"/>
      <w:r>
        <w:rPr>
          <w:rFonts w:hint="eastAsia" w:ascii="宋体" w:hAnsi="宋体" w:cs="宋体"/>
          <w:color w:val="auto"/>
          <w:highlight w:val="none"/>
        </w:rPr>
        <w:t>联系方式见《参选邀请》中“采购代理机构的名称、地址和联系方式”。</w:t>
      </w:r>
      <w:bookmarkEnd w:id="482"/>
      <w:bookmarkEnd w:id="483"/>
      <w:bookmarkEnd w:id="484"/>
      <w:bookmarkEnd w:id="485"/>
      <w:bookmarkEnd w:id="486"/>
      <w:bookmarkEnd w:id="487"/>
      <w:bookmarkEnd w:id="488"/>
    </w:p>
    <w:p w14:paraId="543B6AA1">
      <w:pPr>
        <w:numPr>
          <w:ilvl w:val="1"/>
          <w:numId w:val="1"/>
        </w:numPr>
        <w:spacing w:line="360" w:lineRule="auto"/>
        <w:ind w:left="0" w:firstLine="425"/>
        <w:rPr>
          <w:rFonts w:ascii="宋体" w:hAnsi="宋体" w:cs="宋体"/>
          <w:color w:val="auto"/>
          <w:highlight w:val="none"/>
        </w:rPr>
      </w:pPr>
      <w:bookmarkStart w:id="489" w:name="_Toc4409"/>
      <w:bookmarkStart w:id="490" w:name="_Toc10291"/>
      <w:bookmarkStart w:id="491" w:name="_Toc27773"/>
      <w:bookmarkStart w:id="492" w:name="_Toc535854339"/>
      <w:bookmarkStart w:id="493" w:name="_Toc500260852"/>
      <w:r>
        <w:rPr>
          <w:rFonts w:hint="eastAsia" w:ascii="宋体" w:hAnsi="宋体" w:cs="宋体"/>
          <w:color w:val="auto"/>
          <w:highlight w:val="none"/>
        </w:rPr>
        <w:t>质疑</w:t>
      </w:r>
      <w:bookmarkEnd w:id="489"/>
      <w:bookmarkEnd w:id="490"/>
      <w:bookmarkEnd w:id="491"/>
      <w:bookmarkEnd w:id="492"/>
    </w:p>
    <w:bookmarkEnd w:id="454"/>
    <w:bookmarkEnd w:id="455"/>
    <w:bookmarkEnd w:id="456"/>
    <w:bookmarkEnd w:id="457"/>
    <w:bookmarkEnd w:id="469"/>
    <w:bookmarkEnd w:id="493"/>
    <w:p w14:paraId="3637CF24">
      <w:pPr>
        <w:pStyle w:val="6"/>
        <w:numPr>
          <w:ilvl w:val="255"/>
          <w:numId w:val="0"/>
        </w:numPr>
        <w:tabs>
          <w:tab w:val="left" w:pos="540"/>
        </w:tabs>
        <w:spacing w:line="360" w:lineRule="auto"/>
        <w:ind w:firstLine="420" w:firstLineChars="200"/>
        <w:rPr>
          <w:rFonts w:ascii="宋体" w:hAnsi="宋体" w:cs="宋体"/>
          <w:bCs/>
          <w:color w:val="auto"/>
          <w:highlight w:val="none"/>
        </w:rPr>
      </w:pPr>
      <w:bookmarkStart w:id="494" w:name="_Toc525997271"/>
      <w:bookmarkStart w:id="495" w:name="_Toc511405354"/>
      <w:bookmarkStart w:id="496" w:name="_Toc9871"/>
      <w:bookmarkStart w:id="497" w:name="_Toc508036074"/>
      <w:bookmarkStart w:id="498" w:name="_Toc535854340"/>
      <w:bookmarkStart w:id="499" w:name="_Toc20386"/>
      <w:bookmarkStart w:id="500" w:name="_Toc527625235"/>
      <w:bookmarkStart w:id="501" w:name="_Toc508619412"/>
      <w:bookmarkStart w:id="502" w:name="_Toc25997"/>
      <w:bookmarkStart w:id="503" w:name="_Toc530581105"/>
      <w:bookmarkStart w:id="504" w:name="_Toc14401"/>
      <w:bookmarkStart w:id="505" w:name="_Toc512415888"/>
      <w:r>
        <w:rPr>
          <w:rFonts w:hint="eastAsia" w:ascii="宋体" w:hAnsi="宋体" w:cs="宋体"/>
          <w:bCs/>
          <w:color w:val="auto"/>
          <w:highlight w:val="none"/>
        </w:rPr>
        <w:t>1.参选人认为遴选文件、遴选过程或中选结果使自己的权益受到损害的，可以在知道或者应知其权益受到损害之日起</w:t>
      </w:r>
      <w:r>
        <w:rPr>
          <w:rFonts w:hint="eastAsia" w:ascii="宋体" w:hAnsi="宋体" w:cs="宋体"/>
          <w:b/>
          <w:bCs w:val="0"/>
          <w:color w:val="auto"/>
          <w:highlight w:val="none"/>
          <w:lang w:eastAsia="zh-CN"/>
        </w:rPr>
        <w:t>两</w:t>
      </w:r>
      <w:r>
        <w:rPr>
          <w:rFonts w:hint="eastAsia" w:ascii="宋体" w:hAnsi="宋体" w:cs="宋体"/>
          <w:b/>
          <w:bCs w:val="0"/>
          <w:color w:val="auto"/>
          <w:highlight w:val="none"/>
        </w:rPr>
        <w:t>个</w:t>
      </w:r>
      <w:r>
        <w:rPr>
          <w:rFonts w:hint="eastAsia" w:ascii="宋体" w:hAnsi="宋体" w:cs="宋体"/>
          <w:bCs/>
          <w:color w:val="auto"/>
          <w:highlight w:val="none"/>
        </w:rPr>
        <w:t>工作日内，以书面形式向采购人或采购代理机构一次性提出针对同一采购程序环节的质疑，逾期质疑无效。参选人应知其权益受到损害之日是指：</w:t>
      </w:r>
    </w:p>
    <w:p w14:paraId="534299BB">
      <w:pPr>
        <w:pStyle w:val="6"/>
        <w:tabs>
          <w:tab w:val="left" w:pos="540"/>
        </w:tabs>
        <w:spacing w:line="360" w:lineRule="auto"/>
        <w:ind w:firstLine="388"/>
        <w:rPr>
          <w:rFonts w:ascii="宋体" w:hAnsi="宋体" w:cs="宋体"/>
          <w:bCs/>
          <w:color w:val="auto"/>
          <w:highlight w:val="none"/>
        </w:rPr>
      </w:pPr>
      <w:bookmarkStart w:id="506" w:name="_Toc9666"/>
      <w:bookmarkStart w:id="507" w:name="_Toc30748"/>
      <w:r>
        <w:rPr>
          <w:rFonts w:hint="eastAsia" w:ascii="宋体" w:hAnsi="宋体" w:cs="宋体"/>
          <w:bCs/>
          <w:color w:val="auto"/>
          <w:highlight w:val="none"/>
        </w:rPr>
        <w:t>(1)对遴选文件提出质疑的，为获取遴选文件之日；</w:t>
      </w:r>
      <w:bookmarkEnd w:id="506"/>
      <w:bookmarkEnd w:id="507"/>
    </w:p>
    <w:p w14:paraId="569517A5">
      <w:pPr>
        <w:pStyle w:val="6"/>
        <w:tabs>
          <w:tab w:val="left" w:pos="540"/>
        </w:tabs>
        <w:spacing w:line="360" w:lineRule="auto"/>
        <w:ind w:firstLine="388"/>
        <w:rPr>
          <w:rFonts w:ascii="宋体" w:hAnsi="宋体" w:cs="宋体"/>
          <w:bCs/>
          <w:color w:val="auto"/>
          <w:highlight w:val="none"/>
        </w:rPr>
      </w:pPr>
      <w:bookmarkStart w:id="508" w:name="_Toc13238"/>
      <w:bookmarkStart w:id="509" w:name="_Toc30915"/>
      <w:r>
        <w:rPr>
          <w:rFonts w:hint="eastAsia" w:ascii="宋体" w:hAnsi="宋体" w:cs="宋体"/>
          <w:bCs/>
          <w:color w:val="auto"/>
          <w:highlight w:val="none"/>
        </w:rPr>
        <w:t>(2)对采购过程提出质疑的，为各采购程序环节结束之日；</w:t>
      </w:r>
      <w:bookmarkEnd w:id="508"/>
      <w:bookmarkEnd w:id="509"/>
    </w:p>
    <w:p w14:paraId="08413DC4">
      <w:pPr>
        <w:pStyle w:val="6"/>
        <w:tabs>
          <w:tab w:val="left" w:pos="540"/>
        </w:tabs>
        <w:spacing w:line="360" w:lineRule="auto"/>
        <w:ind w:firstLineChars="200"/>
        <w:jc w:val="both"/>
        <w:rPr>
          <w:rFonts w:ascii="宋体" w:hAnsi="宋体" w:cs="宋体"/>
          <w:bCs/>
          <w:color w:val="auto"/>
          <w:highlight w:val="none"/>
        </w:rPr>
      </w:pPr>
      <w:bookmarkStart w:id="510" w:name="_Toc14331"/>
      <w:bookmarkStart w:id="511" w:name="_Toc357"/>
      <w:r>
        <w:rPr>
          <w:rFonts w:hint="eastAsia" w:ascii="宋体" w:hAnsi="宋体" w:cs="宋体"/>
          <w:bCs/>
          <w:color w:val="auto"/>
          <w:highlight w:val="none"/>
        </w:rPr>
        <w:t>(3)对中选结果提出质疑的，为中选结果公告期限届满之日。</w:t>
      </w:r>
      <w:bookmarkEnd w:id="494"/>
      <w:bookmarkEnd w:id="495"/>
      <w:bookmarkEnd w:id="496"/>
      <w:bookmarkEnd w:id="497"/>
      <w:bookmarkEnd w:id="498"/>
      <w:bookmarkEnd w:id="499"/>
      <w:bookmarkEnd w:id="500"/>
      <w:bookmarkEnd w:id="501"/>
      <w:bookmarkEnd w:id="502"/>
      <w:bookmarkEnd w:id="503"/>
      <w:bookmarkEnd w:id="504"/>
      <w:bookmarkEnd w:id="505"/>
      <w:bookmarkEnd w:id="510"/>
      <w:bookmarkEnd w:id="511"/>
    </w:p>
    <w:p w14:paraId="3CEF41D8">
      <w:pPr>
        <w:pStyle w:val="6"/>
        <w:numPr>
          <w:ilvl w:val="255"/>
          <w:numId w:val="0"/>
        </w:numPr>
        <w:tabs>
          <w:tab w:val="left" w:pos="540"/>
        </w:tabs>
        <w:spacing w:line="360" w:lineRule="auto"/>
        <w:ind w:firstLine="420" w:firstLineChars="200"/>
        <w:rPr>
          <w:rFonts w:ascii="宋体" w:hAnsi="宋体" w:cs="宋体"/>
          <w:bCs/>
          <w:color w:val="auto"/>
          <w:highlight w:val="none"/>
        </w:rPr>
      </w:pPr>
      <w:bookmarkStart w:id="512" w:name="_Toc8636"/>
      <w:bookmarkStart w:id="513" w:name="_Toc3936"/>
      <w:r>
        <w:rPr>
          <w:rFonts w:hint="eastAsia" w:ascii="宋体" w:hAnsi="宋体" w:cs="宋体"/>
          <w:bCs/>
          <w:color w:val="auto"/>
          <w:highlight w:val="none"/>
        </w:rPr>
        <w:t>2.质疑函应当包括下列主要内容：</w:t>
      </w:r>
      <w:bookmarkEnd w:id="512"/>
      <w:bookmarkEnd w:id="513"/>
    </w:p>
    <w:p w14:paraId="23DCA63B">
      <w:pPr>
        <w:pStyle w:val="6"/>
        <w:tabs>
          <w:tab w:val="left" w:pos="540"/>
        </w:tabs>
        <w:spacing w:line="360" w:lineRule="auto"/>
        <w:ind w:firstLine="388"/>
        <w:rPr>
          <w:rFonts w:ascii="宋体" w:hAnsi="宋体" w:cs="宋体"/>
          <w:bCs/>
          <w:color w:val="auto"/>
          <w:highlight w:val="none"/>
        </w:rPr>
      </w:pPr>
      <w:bookmarkStart w:id="514" w:name="_Toc5230"/>
      <w:bookmarkStart w:id="515" w:name="_Toc65"/>
      <w:r>
        <w:rPr>
          <w:rFonts w:hint="eastAsia" w:ascii="宋体" w:hAnsi="宋体" w:cs="宋体"/>
          <w:bCs/>
          <w:color w:val="auto"/>
          <w:highlight w:val="none"/>
        </w:rPr>
        <w:t>(1)质疑参选人和相关参选人的名称、地址、邮编、联系人及联系电话等；</w:t>
      </w:r>
      <w:bookmarkEnd w:id="514"/>
      <w:bookmarkEnd w:id="515"/>
    </w:p>
    <w:p w14:paraId="0E8F165C">
      <w:pPr>
        <w:pStyle w:val="6"/>
        <w:tabs>
          <w:tab w:val="left" w:pos="540"/>
        </w:tabs>
        <w:spacing w:line="360" w:lineRule="auto"/>
        <w:ind w:firstLine="388"/>
        <w:rPr>
          <w:rFonts w:ascii="宋体" w:hAnsi="宋体" w:cs="宋体"/>
          <w:bCs/>
          <w:color w:val="auto"/>
          <w:highlight w:val="none"/>
        </w:rPr>
      </w:pPr>
      <w:bookmarkStart w:id="516" w:name="_Toc31205"/>
      <w:bookmarkStart w:id="517" w:name="_Toc7517"/>
      <w:r>
        <w:rPr>
          <w:rFonts w:hint="eastAsia" w:ascii="宋体" w:hAnsi="宋体" w:cs="宋体"/>
          <w:bCs/>
          <w:color w:val="auto"/>
          <w:highlight w:val="none"/>
        </w:rPr>
        <w:t>(2)质疑项目名称及编号、具体明确的质疑事项和与质疑事项相关的请求；</w:t>
      </w:r>
      <w:bookmarkEnd w:id="516"/>
      <w:bookmarkEnd w:id="517"/>
    </w:p>
    <w:p w14:paraId="33B2681C">
      <w:pPr>
        <w:pStyle w:val="6"/>
        <w:tabs>
          <w:tab w:val="left" w:pos="540"/>
        </w:tabs>
        <w:spacing w:line="360" w:lineRule="auto"/>
        <w:ind w:firstLine="388"/>
        <w:rPr>
          <w:rFonts w:ascii="宋体" w:hAnsi="宋体" w:cs="宋体"/>
          <w:bCs/>
          <w:color w:val="auto"/>
          <w:highlight w:val="none"/>
        </w:rPr>
      </w:pPr>
      <w:bookmarkStart w:id="518" w:name="_Toc14334"/>
      <w:bookmarkStart w:id="519" w:name="_Toc9931"/>
      <w:r>
        <w:rPr>
          <w:rFonts w:hint="eastAsia" w:ascii="宋体" w:hAnsi="宋体" w:cs="宋体"/>
          <w:bCs/>
          <w:color w:val="auto"/>
          <w:highlight w:val="none"/>
        </w:rPr>
        <w:t>(3)认为采购文件、遴选过程、中选和成交结果使自己的合法权益受到损害的法律依据、事实依据、相关证明材料及证据来源；</w:t>
      </w:r>
      <w:bookmarkEnd w:id="518"/>
      <w:bookmarkEnd w:id="519"/>
    </w:p>
    <w:p w14:paraId="1963F4CF">
      <w:pPr>
        <w:pStyle w:val="6"/>
        <w:tabs>
          <w:tab w:val="left" w:pos="540"/>
        </w:tabs>
        <w:spacing w:line="360" w:lineRule="auto"/>
        <w:ind w:firstLine="388"/>
        <w:rPr>
          <w:rFonts w:ascii="宋体" w:hAnsi="宋体" w:cs="宋体"/>
          <w:bCs/>
          <w:color w:val="auto"/>
          <w:highlight w:val="none"/>
        </w:rPr>
      </w:pPr>
      <w:bookmarkStart w:id="520" w:name="_Toc1641"/>
      <w:bookmarkStart w:id="521" w:name="_Toc3758"/>
      <w:r>
        <w:rPr>
          <w:rFonts w:hint="eastAsia" w:ascii="宋体" w:hAnsi="宋体" w:cs="宋体"/>
          <w:bCs/>
          <w:color w:val="auto"/>
          <w:highlight w:val="none"/>
        </w:rPr>
        <w:t>(4)提出质疑的日期。</w:t>
      </w:r>
      <w:bookmarkEnd w:id="520"/>
      <w:bookmarkEnd w:id="521"/>
    </w:p>
    <w:p w14:paraId="267480F6">
      <w:pPr>
        <w:pStyle w:val="6"/>
        <w:numPr>
          <w:ilvl w:val="255"/>
          <w:numId w:val="0"/>
        </w:numPr>
        <w:tabs>
          <w:tab w:val="left" w:pos="540"/>
        </w:tabs>
        <w:spacing w:line="360" w:lineRule="auto"/>
        <w:ind w:firstLine="420" w:firstLineChars="200"/>
        <w:rPr>
          <w:rFonts w:ascii="宋体" w:hAnsi="宋体" w:cs="宋体"/>
          <w:bCs/>
          <w:color w:val="auto"/>
          <w:highlight w:val="none"/>
        </w:rPr>
      </w:pPr>
      <w:bookmarkStart w:id="522" w:name="_Toc31240"/>
      <w:bookmarkStart w:id="523" w:name="_Toc24980"/>
      <w:r>
        <w:rPr>
          <w:rFonts w:hint="eastAsia" w:ascii="宋体" w:hAnsi="宋体" w:cs="宋体"/>
          <w:bCs/>
          <w:color w:val="auto"/>
          <w:highlight w:val="none"/>
        </w:rPr>
        <w:t>3.质疑函应当署名。质疑参选人为自然人的，应当由本人签字；质疑参选人为法人或者其他组织的，应当由法定代表人，或者其授权代表签字或者盖章，并加盖公章。</w:t>
      </w:r>
      <w:bookmarkEnd w:id="522"/>
      <w:bookmarkEnd w:id="523"/>
    </w:p>
    <w:p w14:paraId="116443FC">
      <w:pPr>
        <w:pStyle w:val="6"/>
        <w:numPr>
          <w:ilvl w:val="255"/>
          <w:numId w:val="0"/>
        </w:numPr>
        <w:tabs>
          <w:tab w:val="left" w:pos="540"/>
        </w:tabs>
        <w:spacing w:line="360" w:lineRule="auto"/>
        <w:ind w:firstLine="420" w:firstLineChars="200"/>
        <w:rPr>
          <w:rFonts w:ascii="宋体" w:hAnsi="宋体" w:cs="宋体"/>
          <w:bCs/>
          <w:color w:val="auto"/>
          <w:highlight w:val="none"/>
        </w:rPr>
      </w:pPr>
      <w:bookmarkStart w:id="524" w:name="_Toc22389"/>
      <w:bookmarkStart w:id="525" w:name="_Toc17389"/>
      <w:r>
        <w:rPr>
          <w:rFonts w:hint="eastAsia" w:ascii="宋体" w:hAnsi="宋体" w:cs="宋体"/>
          <w:bCs/>
          <w:color w:val="auto"/>
          <w:highlight w:val="none"/>
        </w:rPr>
        <w:t>4.以联合体形式参加政府采购活动的，其质疑应当由联合体成员委托主体提出。</w:t>
      </w:r>
      <w:bookmarkEnd w:id="524"/>
      <w:bookmarkEnd w:id="525"/>
    </w:p>
    <w:p w14:paraId="10A8703A">
      <w:pPr>
        <w:pStyle w:val="6"/>
        <w:numPr>
          <w:ilvl w:val="255"/>
          <w:numId w:val="0"/>
        </w:numPr>
        <w:tabs>
          <w:tab w:val="left" w:pos="540"/>
        </w:tabs>
        <w:spacing w:line="360" w:lineRule="auto"/>
        <w:ind w:firstLine="420" w:firstLineChars="200"/>
        <w:rPr>
          <w:rFonts w:ascii="宋体" w:hAnsi="宋体" w:cs="宋体"/>
          <w:bCs/>
          <w:color w:val="auto"/>
          <w:highlight w:val="none"/>
        </w:rPr>
      </w:pPr>
      <w:bookmarkStart w:id="526" w:name="_Toc11251"/>
      <w:bookmarkStart w:id="527" w:name="_Toc1863"/>
      <w:r>
        <w:rPr>
          <w:rFonts w:hint="eastAsia" w:ascii="宋体" w:hAnsi="宋体" w:cs="宋体"/>
          <w:bCs/>
          <w:color w:val="auto"/>
          <w:highlight w:val="none"/>
        </w:rPr>
        <w:t>5.参选人质疑应当有明确的请求和必要的证明材料。质疑内容不得含有虚假、恶意</w:t>
      </w:r>
      <w:r>
        <w:rPr>
          <w:rFonts w:hint="eastAsia" w:ascii="宋体" w:hAnsi="宋体" w:cs="宋体"/>
          <w:bCs/>
          <w:color w:val="auto"/>
          <w:highlight w:val="none"/>
          <w:lang w:eastAsia="zh-CN"/>
        </w:rPr>
        <w:t>成分</w:t>
      </w:r>
      <w:r>
        <w:rPr>
          <w:rFonts w:hint="eastAsia" w:ascii="宋体" w:hAnsi="宋体" w:cs="宋体"/>
          <w:bCs/>
          <w:color w:val="auto"/>
          <w:highlight w:val="none"/>
        </w:rPr>
        <w:t>。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相关采购监督管理部门依法处理。</w:t>
      </w:r>
      <w:bookmarkEnd w:id="526"/>
      <w:bookmarkEnd w:id="527"/>
    </w:p>
    <w:p w14:paraId="7E9A3C66">
      <w:pPr>
        <w:pStyle w:val="6"/>
        <w:numPr>
          <w:ilvl w:val="255"/>
          <w:numId w:val="0"/>
        </w:numPr>
        <w:tabs>
          <w:tab w:val="left" w:pos="540"/>
        </w:tabs>
        <w:spacing w:line="360" w:lineRule="auto"/>
        <w:ind w:firstLine="420" w:firstLineChars="200"/>
        <w:rPr>
          <w:rFonts w:ascii="宋体" w:hAnsi="宋体" w:cs="宋体"/>
          <w:bCs/>
          <w:color w:val="auto"/>
          <w:highlight w:val="none"/>
        </w:rPr>
      </w:pPr>
      <w:bookmarkStart w:id="528" w:name="_Toc3253"/>
      <w:bookmarkStart w:id="529" w:name="_Toc17049"/>
      <w:r>
        <w:rPr>
          <w:rFonts w:hint="eastAsia" w:ascii="宋体" w:hAnsi="宋体" w:cs="宋体"/>
          <w:bCs/>
          <w:color w:val="auto"/>
          <w:highlight w:val="none"/>
        </w:rPr>
        <w:t>6.质疑联系方式如下：</w:t>
      </w:r>
      <w:bookmarkEnd w:id="528"/>
      <w:bookmarkEnd w:id="529"/>
    </w:p>
    <w:p w14:paraId="1F8C5BC2">
      <w:pPr>
        <w:pStyle w:val="6"/>
        <w:tabs>
          <w:tab w:val="left" w:pos="540"/>
        </w:tabs>
        <w:spacing w:line="360" w:lineRule="auto"/>
        <w:ind w:firstLine="388"/>
        <w:rPr>
          <w:rFonts w:ascii="宋体" w:hAnsi="宋体" w:cs="宋体"/>
          <w:bCs/>
          <w:color w:val="auto"/>
          <w:highlight w:val="none"/>
        </w:rPr>
      </w:pPr>
      <w:bookmarkStart w:id="530" w:name="_Toc10024"/>
      <w:bookmarkStart w:id="531" w:name="_Toc13873"/>
      <w:r>
        <w:rPr>
          <w:rFonts w:hint="eastAsia" w:ascii="宋体" w:hAnsi="宋体" w:cs="宋体"/>
          <w:bCs/>
          <w:color w:val="auto"/>
          <w:highlight w:val="none"/>
        </w:rPr>
        <w:t>质疑联系人：</w:t>
      </w:r>
      <w:bookmarkEnd w:id="530"/>
      <w:bookmarkEnd w:id="531"/>
      <w:r>
        <w:rPr>
          <w:rFonts w:hint="eastAsia" w:ascii="宋体" w:hAnsi="宋体" w:cs="宋体"/>
          <w:bCs/>
          <w:color w:val="auto"/>
          <w:highlight w:val="none"/>
          <w:lang w:val="en-US" w:eastAsia="zh-CN"/>
        </w:rPr>
        <w:t>杨小姐</w:t>
      </w:r>
    </w:p>
    <w:p w14:paraId="5933E755">
      <w:pPr>
        <w:pStyle w:val="6"/>
        <w:tabs>
          <w:tab w:val="left" w:pos="540"/>
        </w:tabs>
        <w:spacing w:line="360" w:lineRule="auto"/>
        <w:ind w:firstLine="388"/>
        <w:rPr>
          <w:rFonts w:hint="eastAsia" w:ascii="宋体" w:hAnsi="宋体" w:cs="宋体"/>
          <w:bCs/>
          <w:color w:val="auto"/>
          <w:highlight w:val="none"/>
        </w:rPr>
      </w:pPr>
      <w:bookmarkStart w:id="532" w:name="_Toc31397"/>
      <w:bookmarkStart w:id="533" w:name="_Toc25371"/>
      <w:r>
        <w:rPr>
          <w:rFonts w:hint="eastAsia" w:ascii="宋体" w:hAnsi="宋体" w:cs="宋体"/>
          <w:bCs/>
          <w:color w:val="auto"/>
          <w:highlight w:val="none"/>
        </w:rPr>
        <w:t>电话：</w:t>
      </w:r>
      <w:bookmarkEnd w:id="532"/>
      <w:bookmarkEnd w:id="533"/>
      <w:bookmarkStart w:id="534" w:name="_Toc12066"/>
      <w:bookmarkStart w:id="535" w:name="_Toc7217"/>
      <w:r>
        <w:rPr>
          <w:rFonts w:hint="eastAsia" w:ascii="宋体" w:hAnsi="宋体" w:cs="宋体"/>
          <w:bCs/>
          <w:color w:val="auto"/>
          <w:highlight w:val="none"/>
          <w:lang w:eastAsia="zh-CN"/>
        </w:rPr>
        <w:t>020-87385151</w:t>
      </w:r>
    </w:p>
    <w:p w14:paraId="6092D0AE">
      <w:pPr>
        <w:pStyle w:val="6"/>
        <w:tabs>
          <w:tab w:val="left" w:pos="540"/>
        </w:tabs>
        <w:spacing w:line="360" w:lineRule="auto"/>
        <w:ind w:firstLine="388"/>
        <w:rPr>
          <w:rFonts w:hint="eastAsia" w:ascii="宋体" w:hAnsi="宋体" w:cs="宋体"/>
          <w:bCs/>
          <w:color w:val="auto"/>
          <w:highlight w:val="none"/>
        </w:rPr>
      </w:pPr>
      <w:r>
        <w:rPr>
          <w:rFonts w:hint="eastAsia" w:ascii="宋体" w:hAnsi="宋体" w:cs="宋体"/>
          <w:bCs/>
          <w:color w:val="auto"/>
          <w:highlight w:val="none"/>
        </w:rPr>
        <w:t>传真：</w:t>
      </w:r>
      <w:bookmarkEnd w:id="534"/>
      <w:bookmarkEnd w:id="535"/>
      <w:bookmarkStart w:id="536" w:name="_Toc11651"/>
      <w:bookmarkStart w:id="537" w:name="_Toc15775"/>
      <w:r>
        <w:rPr>
          <w:rFonts w:hint="eastAsia" w:ascii="宋体" w:hAnsi="宋体" w:cs="宋体"/>
          <w:bCs/>
          <w:color w:val="auto"/>
          <w:highlight w:val="none"/>
        </w:rPr>
        <w:t>020-87385151</w:t>
      </w:r>
    </w:p>
    <w:p w14:paraId="58619CC5">
      <w:pPr>
        <w:pStyle w:val="6"/>
        <w:tabs>
          <w:tab w:val="left" w:pos="540"/>
        </w:tabs>
        <w:spacing w:line="360" w:lineRule="auto"/>
        <w:ind w:firstLine="388"/>
        <w:rPr>
          <w:rFonts w:ascii="宋体" w:hAnsi="宋体" w:cs="宋体"/>
          <w:bCs/>
          <w:color w:val="auto"/>
          <w:highlight w:val="none"/>
        </w:rPr>
      </w:pPr>
      <w:r>
        <w:rPr>
          <w:rFonts w:hint="eastAsia" w:ascii="宋体" w:hAnsi="宋体" w:cs="宋体"/>
          <w:bCs/>
          <w:color w:val="auto"/>
          <w:highlight w:val="none"/>
        </w:rPr>
        <w:t>邮箱：</w:t>
      </w:r>
      <w:bookmarkEnd w:id="536"/>
      <w:bookmarkEnd w:id="537"/>
      <w:r>
        <w:rPr>
          <w:rFonts w:hint="eastAsia" w:ascii="宋体" w:hAnsi="宋体" w:cs="宋体"/>
          <w:bCs/>
          <w:color w:val="auto"/>
          <w:highlight w:val="none"/>
          <w:lang w:eastAsia="zh-CN"/>
        </w:rPr>
        <w:t>gzzjzbyxgs@126.com</w:t>
      </w:r>
    </w:p>
    <w:p w14:paraId="2662A4AA">
      <w:pPr>
        <w:pStyle w:val="6"/>
        <w:tabs>
          <w:tab w:val="left" w:pos="540"/>
        </w:tabs>
        <w:spacing w:line="360" w:lineRule="auto"/>
        <w:ind w:firstLine="388"/>
        <w:rPr>
          <w:rFonts w:ascii="宋体" w:hAnsi="宋体" w:cs="宋体"/>
          <w:bCs/>
          <w:color w:val="auto"/>
          <w:highlight w:val="none"/>
        </w:rPr>
      </w:pPr>
      <w:bookmarkStart w:id="538" w:name="_Toc3763"/>
      <w:bookmarkStart w:id="539" w:name="_Toc9414"/>
      <w:r>
        <w:rPr>
          <w:rFonts w:hint="eastAsia" w:ascii="宋体" w:hAnsi="宋体" w:cs="宋体"/>
          <w:bCs/>
          <w:color w:val="auto"/>
          <w:highlight w:val="none"/>
        </w:rPr>
        <w:t>地址：</w:t>
      </w:r>
      <w:bookmarkEnd w:id="538"/>
      <w:bookmarkEnd w:id="539"/>
      <w:r>
        <w:rPr>
          <w:rFonts w:hint="eastAsia" w:ascii="宋体" w:hAnsi="宋体" w:cs="宋体"/>
          <w:bCs/>
          <w:color w:val="auto"/>
          <w:highlight w:val="none"/>
        </w:rPr>
        <w:t>广州市越秀区寺右一马路18号泰恒大厦14楼1409室</w:t>
      </w:r>
    </w:p>
    <w:p w14:paraId="1EEEB8C3">
      <w:pPr>
        <w:pStyle w:val="6"/>
        <w:tabs>
          <w:tab w:val="left" w:pos="540"/>
        </w:tabs>
        <w:spacing w:line="360" w:lineRule="auto"/>
        <w:ind w:firstLineChars="200"/>
        <w:jc w:val="both"/>
        <w:rPr>
          <w:rFonts w:ascii="宋体" w:hAnsi="宋体" w:cs="宋体"/>
          <w:bCs/>
          <w:color w:val="auto"/>
          <w:highlight w:val="none"/>
        </w:rPr>
      </w:pPr>
      <w:bookmarkStart w:id="540" w:name="_Toc22011"/>
      <w:bookmarkStart w:id="541" w:name="_Toc26889"/>
      <w:r>
        <w:rPr>
          <w:rFonts w:hint="eastAsia" w:ascii="宋体" w:hAnsi="宋体" w:cs="宋体"/>
          <w:bCs/>
          <w:color w:val="auto"/>
          <w:highlight w:val="none"/>
        </w:rPr>
        <w:t>邮编：</w:t>
      </w:r>
      <w:bookmarkEnd w:id="540"/>
      <w:bookmarkEnd w:id="541"/>
      <w:r>
        <w:rPr>
          <w:rFonts w:hint="eastAsia" w:ascii="宋体" w:hAnsi="宋体" w:cs="宋体"/>
          <w:bCs/>
          <w:color w:val="auto"/>
          <w:highlight w:val="none"/>
        </w:rPr>
        <w:t>510060</w:t>
      </w:r>
    </w:p>
    <w:p w14:paraId="3ADA04A6">
      <w:pPr>
        <w:pStyle w:val="4"/>
        <w:numPr>
          <w:ilvl w:val="0"/>
          <w:numId w:val="1"/>
        </w:numPr>
        <w:snapToGrid/>
        <w:spacing w:line="360" w:lineRule="auto"/>
        <w:ind w:left="567" w:hanging="27"/>
        <w:jc w:val="left"/>
        <w:rPr>
          <w:rFonts w:hAnsi="宋体" w:cs="宋体"/>
          <w:b/>
          <w:bCs/>
          <w:color w:val="auto"/>
          <w:sz w:val="21"/>
          <w:szCs w:val="21"/>
          <w:highlight w:val="none"/>
        </w:rPr>
      </w:pPr>
      <w:bookmarkStart w:id="542" w:name="_Toc22537"/>
      <w:bookmarkStart w:id="543" w:name="_Toc2143"/>
      <w:bookmarkStart w:id="544" w:name="_Toc22820"/>
      <w:bookmarkStart w:id="545" w:name="_Toc1733"/>
      <w:r>
        <w:rPr>
          <w:rFonts w:hint="eastAsia" w:hAnsi="宋体" w:cs="宋体"/>
          <w:b/>
          <w:bCs/>
          <w:color w:val="auto"/>
          <w:sz w:val="21"/>
          <w:szCs w:val="21"/>
          <w:highlight w:val="none"/>
        </w:rPr>
        <w:t>参选文件</w:t>
      </w:r>
      <w:bookmarkEnd w:id="542"/>
      <w:bookmarkEnd w:id="543"/>
      <w:bookmarkEnd w:id="544"/>
      <w:bookmarkEnd w:id="545"/>
    </w:p>
    <w:p w14:paraId="3DD9A485">
      <w:pPr>
        <w:pStyle w:val="3"/>
        <w:numPr>
          <w:ilvl w:val="1"/>
          <w:numId w:val="1"/>
        </w:numPr>
        <w:tabs>
          <w:tab w:val="clear" w:pos="851"/>
        </w:tabs>
        <w:snapToGrid/>
        <w:spacing w:line="360" w:lineRule="auto"/>
        <w:ind w:left="1134" w:hanging="709"/>
        <w:rPr>
          <w:rFonts w:ascii="宋体" w:hAnsi="宋体" w:cs="宋体"/>
          <w:color w:val="auto"/>
          <w:sz w:val="21"/>
          <w:szCs w:val="21"/>
          <w:highlight w:val="none"/>
        </w:rPr>
      </w:pPr>
      <w:bookmarkStart w:id="546" w:name="_Toc513112184"/>
      <w:bookmarkStart w:id="547" w:name="_Toc508036103"/>
      <w:bookmarkStart w:id="548" w:name="_Toc528659919"/>
      <w:bookmarkStart w:id="549" w:name="_Toc475456346"/>
      <w:bookmarkStart w:id="550" w:name="_Toc535418340"/>
      <w:bookmarkStart w:id="551" w:name="_Toc513630968"/>
      <w:bookmarkStart w:id="552" w:name="_Toc511916138"/>
      <w:bookmarkStart w:id="553" w:name="_Toc535854362"/>
      <w:bookmarkStart w:id="554" w:name="_Toc508619441"/>
      <w:bookmarkStart w:id="555" w:name="_Toc475463047"/>
      <w:bookmarkStart w:id="556" w:name="_Toc29669"/>
      <w:bookmarkStart w:id="557" w:name="_Toc475462209"/>
      <w:bookmarkStart w:id="558" w:name="_Toc12553"/>
      <w:bookmarkStart w:id="559" w:name="_Toc19574"/>
      <w:bookmarkStart w:id="560" w:name="_Toc500260859"/>
      <w:bookmarkStart w:id="561" w:name="_Toc478741176"/>
      <w:bookmarkStart w:id="562" w:name="_Toc98579600"/>
      <w:bookmarkStart w:id="563" w:name="_Toc42394506"/>
      <w:bookmarkStart w:id="564" w:name="_Toc50276147"/>
      <w:bookmarkStart w:id="565" w:name="_Toc98580283"/>
      <w:bookmarkStart w:id="566" w:name="_Toc42394663"/>
      <w:bookmarkStart w:id="567" w:name="_Toc41884695"/>
      <w:bookmarkStart w:id="568" w:name="_Toc101951251"/>
      <w:bookmarkStart w:id="569" w:name="_Toc42313161"/>
      <w:bookmarkStart w:id="570" w:name="_Toc101775118"/>
      <w:bookmarkStart w:id="571" w:name="_Toc98579059"/>
      <w:bookmarkStart w:id="572" w:name="_Toc41723925"/>
      <w:bookmarkStart w:id="573" w:name="_Toc134956127"/>
      <w:bookmarkStart w:id="574" w:name="_Toc98579001"/>
      <w:bookmarkStart w:id="575" w:name="_Toc101843118"/>
      <w:bookmarkStart w:id="576" w:name="_Toc101771365"/>
      <w:r>
        <w:rPr>
          <w:rFonts w:hint="eastAsia" w:ascii="宋体" w:hAnsi="宋体" w:cs="宋体"/>
          <w:color w:val="auto"/>
          <w:sz w:val="21"/>
          <w:szCs w:val="21"/>
          <w:highlight w:val="none"/>
        </w:rPr>
        <w:t>参选文件制作</w:t>
      </w:r>
    </w:p>
    <w:p w14:paraId="7D619C74">
      <w:pPr>
        <w:pStyle w:val="6"/>
        <w:keepNext w:val="0"/>
        <w:keepLines w:val="0"/>
        <w:pageBreakBefore w:val="0"/>
        <w:numPr>
          <w:ilvl w:val="2"/>
          <w:numId w:val="0"/>
        </w:numPr>
        <w:tabs>
          <w:tab w:val="left" w:pos="540"/>
        </w:tabs>
        <w:kinsoku/>
        <w:wordWrap/>
        <w:overflowPunct/>
        <w:topLinePunct w:val="0"/>
        <w:bidi w:val="0"/>
        <w:adjustRightInd/>
        <w:snapToGrid/>
        <w:spacing w:line="360" w:lineRule="auto"/>
        <w:ind w:left="0" w:leftChars="0" w:firstLine="420" w:firstLineChars="200"/>
        <w:textAlignment w:val="auto"/>
        <w:rPr>
          <w:rFonts w:ascii="宋体" w:hAnsi="宋体" w:cs="宋体"/>
          <w:color w:val="auto"/>
          <w:highlight w:val="none"/>
        </w:rPr>
      </w:pPr>
      <w:r>
        <w:rPr>
          <w:rFonts w:hint="default" w:ascii="宋体" w:hAnsi="宋体" w:eastAsia="宋体" w:cs="宋体"/>
          <w:b w:val="0"/>
          <w:bCs w:val="0"/>
          <w:color w:val="auto"/>
          <w:sz w:val="21"/>
          <w:szCs w:val="21"/>
          <w:highlight w:val="none"/>
          <w:lang w:val="en-US" w:eastAsia="zh-CN" w:bidi="ar-SA"/>
        </w:rPr>
        <w:t>1.</w:t>
      </w:r>
      <w:r>
        <w:rPr>
          <w:rFonts w:hint="eastAsia" w:ascii="宋体" w:hAnsi="宋体" w:cs="宋体"/>
          <w:color w:val="auto"/>
          <w:highlight w:val="none"/>
        </w:rPr>
        <w:t xml:space="preserve"> </w:t>
      </w:r>
      <w:r>
        <w:rPr>
          <w:rFonts w:hint="eastAsia" w:ascii="宋体" w:hAnsi="宋体" w:cs="宋体"/>
          <w:b/>
          <w:bCs/>
          <w:color w:val="auto"/>
          <w:highlight w:val="none"/>
        </w:rPr>
        <w:t>本项目为全流程电子遴选项目，参选文件</w:t>
      </w:r>
      <w:r>
        <w:rPr>
          <w:rFonts w:hint="eastAsia" w:ascii="宋体" w:hAnsi="宋体" w:cs="宋体"/>
          <w:b/>
          <w:bCs/>
          <w:color w:val="auto"/>
          <w:highlight w:val="none"/>
          <w:lang w:val="en-US" w:eastAsia="zh-CN"/>
        </w:rPr>
        <w:t>必须</w:t>
      </w:r>
      <w:r>
        <w:rPr>
          <w:rFonts w:hint="eastAsia" w:ascii="宋体" w:hAnsi="宋体" w:cs="宋体"/>
          <w:b/>
          <w:bCs/>
          <w:color w:val="auto"/>
          <w:highlight w:val="none"/>
        </w:rPr>
        <w:t>采用电子版的方式</w:t>
      </w:r>
      <w:r>
        <w:rPr>
          <w:rFonts w:hint="eastAsia" w:ascii="宋体" w:hAnsi="宋体" w:cs="宋体"/>
          <w:b/>
          <w:bCs/>
          <w:color w:val="auto"/>
          <w:highlight w:val="none"/>
          <w:lang w:val="en-US" w:eastAsia="zh-CN"/>
        </w:rPr>
        <w:t>进行递交</w:t>
      </w:r>
      <w:r>
        <w:rPr>
          <w:rFonts w:hint="eastAsia" w:ascii="宋体" w:hAnsi="宋体" w:cs="宋体"/>
          <w:b/>
          <w:bCs/>
          <w:color w:val="auto"/>
          <w:highlight w:val="none"/>
        </w:rPr>
        <w:t>，参选人</w:t>
      </w:r>
      <w:r>
        <w:rPr>
          <w:rFonts w:hint="eastAsia" w:ascii="宋体" w:hAnsi="宋体" w:cs="宋体"/>
          <w:b/>
          <w:bCs/>
          <w:color w:val="auto"/>
          <w:highlight w:val="none"/>
          <w:lang w:val="en-US" w:eastAsia="zh-CN"/>
        </w:rPr>
        <w:t>须</w:t>
      </w:r>
      <w:r>
        <w:rPr>
          <w:rFonts w:hint="eastAsia" w:ascii="宋体" w:hAnsi="宋体" w:cs="宋体"/>
          <w:b/>
          <w:bCs/>
          <w:color w:val="auto"/>
          <w:highlight w:val="none"/>
        </w:rPr>
        <w:t>于参选截止时间前</w:t>
      </w:r>
      <w:r>
        <w:rPr>
          <w:rFonts w:hint="eastAsia" w:ascii="宋体" w:hAnsi="宋体" w:cs="宋体"/>
          <w:b/>
          <w:bCs/>
          <w:color w:val="auto"/>
          <w:highlight w:val="none"/>
          <w:lang w:val="en-US" w:eastAsia="zh-CN"/>
        </w:rPr>
        <w:t>递交</w:t>
      </w:r>
      <w:r>
        <w:rPr>
          <w:rFonts w:hint="eastAsia" w:ascii="宋体" w:hAnsi="宋体" w:cs="宋体"/>
          <w:b/>
          <w:bCs/>
          <w:color w:val="auto"/>
          <w:highlight w:val="none"/>
        </w:rPr>
        <w:t>。</w:t>
      </w:r>
    </w:p>
    <w:p w14:paraId="704C5A23">
      <w:pPr>
        <w:pStyle w:val="3"/>
        <w:keepNext w:val="0"/>
        <w:keepLines w:val="0"/>
        <w:pageBreakBefore w:val="0"/>
        <w:numPr>
          <w:ilvl w:val="0"/>
          <w:numId w:val="0"/>
        </w:numPr>
        <w:tabs>
          <w:tab w:val="clear" w:pos="851"/>
        </w:tabs>
        <w:kinsoku/>
        <w:wordWrap/>
        <w:overflowPunct/>
        <w:topLinePunct w:val="0"/>
        <w:bidi w:val="0"/>
        <w:adjustRightInd/>
        <w:snapToGrid/>
        <w:ind w:left="0" w:leftChars="0" w:firstLine="420" w:firstLineChars="200"/>
        <w:textAlignment w:val="auto"/>
        <w:rPr>
          <w:rFonts w:hint="eastAsia" w:ascii="宋体" w:hAnsi="宋体" w:cs="宋体"/>
          <w:b w:val="0"/>
          <w:bCs w:val="0"/>
          <w:color w:val="auto"/>
          <w:sz w:val="21"/>
          <w:szCs w:val="21"/>
          <w:highlight w:val="none"/>
          <w:lang w:val="en-US"/>
        </w:rPr>
      </w:pPr>
      <w:r>
        <w:rPr>
          <w:rFonts w:hint="eastAsia" w:ascii="宋体" w:hAnsi="宋体" w:cs="宋体"/>
          <w:b w:val="0"/>
          <w:bCs w:val="0"/>
          <w:color w:val="auto"/>
          <w:sz w:val="21"/>
          <w:szCs w:val="21"/>
          <w:highlight w:val="none"/>
          <w:lang w:val="en-US" w:eastAsia="zh-CN"/>
        </w:rPr>
        <w:t>2. 参选人对遴选文件中多个包组进行响应的，其响应文件的编制可以按每个包组的要求分别制作。</w:t>
      </w:r>
    </w:p>
    <w:p w14:paraId="178BBFE4">
      <w:pPr>
        <w:pStyle w:val="3"/>
        <w:keepNext w:val="0"/>
        <w:keepLines w:val="0"/>
        <w:pageBreakBefore w:val="0"/>
        <w:numPr>
          <w:ilvl w:val="0"/>
          <w:numId w:val="0"/>
        </w:numPr>
        <w:tabs>
          <w:tab w:val="clear" w:pos="851"/>
        </w:tabs>
        <w:kinsoku/>
        <w:wordWrap/>
        <w:overflowPunct/>
        <w:topLinePunct w:val="0"/>
        <w:bidi w:val="0"/>
        <w:adjustRightInd/>
        <w:snapToGrid/>
        <w:ind w:left="0" w:leftChars="0" w:firstLine="420" w:firstLineChars="200"/>
        <w:textAlignment w:val="auto"/>
        <w:rPr>
          <w:rFonts w:hint="eastAsia" w:ascii="宋体" w:hAnsi="宋体" w:cs="宋体"/>
          <w:b w:val="0"/>
          <w:bCs w:val="0"/>
          <w:color w:val="auto"/>
          <w:sz w:val="21"/>
          <w:szCs w:val="21"/>
          <w:highlight w:val="none"/>
          <w:lang w:val="en-US"/>
        </w:rPr>
      </w:pPr>
      <w:r>
        <w:rPr>
          <w:rFonts w:hint="eastAsia" w:ascii="宋体" w:hAnsi="宋体" w:cs="宋体"/>
          <w:b w:val="0"/>
          <w:bCs w:val="0"/>
          <w:color w:val="auto"/>
          <w:sz w:val="21"/>
          <w:szCs w:val="21"/>
          <w:highlight w:val="none"/>
          <w:lang w:val="en-US" w:eastAsia="zh-CN"/>
        </w:rPr>
        <w:t>3. 参选人应完整、真实、准确的填写遴选文件中规定的所有内容。</w:t>
      </w:r>
    </w:p>
    <w:p w14:paraId="378C9E35">
      <w:pPr>
        <w:pStyle w:val="3"/>
        <w:keepNext w:val="0"/>
        <w:keepLines w:val="0"/>
        <w:pageBreakBefore w:val="0"/>
        <w:numPr>
          <w:ilvl w:val="0"/>
          <w:numId w:val="0"/>
        </w:numPr>
        <w:tabs>
          <w:tab w:val="clear" w:pos="851"/>
        </w:tabs>
        <w:kinsoku/>
        <w:wordWrap/>
        <w:overflowPunct/>
        <w:topLinePunct w:val="0"/>
        <w:bidi w:val="0"/>
        <w:adjustRightInd/>
        <w:snapToGrid/>
        <w:ind w:left="0" w:leftChars="0" w:firstLine="420" w:firstLineChars="200"/>
        <w:textAlignment w:val="auto"/>
        <w:rPr>
          <w:rFonts w:hint="eastAsia" w:ascii="宋体" w:hAnsi="宋体" w:cs="宋体"/>
          <w:b w:val="0"/>
          <w:bCs w:val="0"/>
          <w:color w:val="auto"/>
          <w:sz w:val="21"/>
          <w:szCs w:val="21"/>
          <w:highlight w:val="none"/>
          <w:lang w:val="en-US"/>
        </w:rPr>
      </w:pPr>
      <w:r>
        <w:rPr>
          <w:rFonts w:hint="eastAsia" w:ascii="宋体" w:hAnsi="宋体" w:cs="宋体"/>
          <w:b w:val="0"/>
          <w:bCs w:val="0"/>
          <w:color w:val="auto"/>
          <w:sz w:val="21"/>
          <w:szCs w:val="21"/>
          <w:highlight w:val="none"/>
          <w:lang w:val="en-US" w:eastAsia="zh-CN"/>
        </w:rPr>
        <w:t>4. 参选人必须对响应文件所提供的全部资料的真实性承担法律责任，并无条件接受采购人或采购代理机构等对其中任何资料进行核实的要求。参选人必须对响应文件所提供的全部资料的真实性承担法律责任。</w:t>
      </w:r>
    </w:p>
    <w:p w14:paraId="44359D4B">
      <w:pPr>
        <w:pStyle w:val="6"/>
        <w:keepNext w:val="0"/>
        <w:keepLines w:val="0"/>
        <w:pageBreakBefore w:val="0"/>
        <w:numPr>
          <w:ilvl w:val="2"/>
          <w:numId w:val="0"/>
        </w:numPr>
        <w:tabs>
          <w:tab w:val="left" w:pos="540"/>
        </w:tabs>
        <w:kinsoku/>
        <w:wordWrap/>
        <w:overflowPunct/>
        <w:topLinePunct w:val="0"/>
        <w:bidi w:val="0"/>
        <w:adjustRightInd/>
        <w:snapToGrid/>
        <w:spacing w:line="360" w:lineRule="auto"/>
        <w:ind w:left="0" w:leftChars="0" w:firstLine="420" w:firstLineChars="200"/>
        <w:textAlignment w:val="auto"/>
        <w:rPr>
          <w:rFonts w:ascii="宋体" w:hAnsi="宋体" w:cs="宋体"/>
          <w:color w:val="auto"/>
          <w:highlight w:val="none"/>
        </w:rPr>
      </w:pPr>
      <w:r>
        <w:rPr>
          <w:rFonts w:hint="eastAsia" w:ascii="宋体" w:hAnsi="宋体" w:cs="宋体"/>
          <w:b w:val="0"/>
          <w:bCs w:val="0"/>
          <w:color w:val="auto"/>
          <w:sz w:val="21"/>
          <w:szCs w:val="21"/>
          <w:highlight w:val="none"/>
          <w:lang w:val="en-US" w:eastAsia="zh-CN"/>
        </w:rPr>
        <w:t>5. 如果因为参选人响应文件填报的内容不详，或没有提供遴选文件中所要求的全部资料及数据，由此造成的后果，其责任由参选人承担。</w:t>
      </w:r>
    </w:p>
    <w:p w14:paraId="25F3074E">
      <w:pPr>
        <w:pStyle w:val="3"/>
        <w:keepNext w:val="0"/>
        <w:keepLines w:val="0"/>
        <w:pageBreakBefore w:val="0"/>
        <w:numPr>
          <w:ilvl w:val="1"/>
          <w:numId w:val="1"/>
        </w:numPr>
        <w:tabs>
          <w:tab w:val="clear" w:pos="851"/>
        </w:tabs>
        <w:kinsoku/>
        <w:wordWrap/>
        <w:overflowPunct/>
        <w:topLinePunct w:val="0"/>
        <w:bidi w:val="0"/>
        <w:snapToGrid/>
        <w:spacing w:line="360" w:lineRule="auto"/>
        <w:ind w:left="0" w:firstLine="422"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参选文件的提交</w:t>
      </w:r>
    </w:p>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14:paraId="40ED6375">
      <w:pPr>
        <w:pStyle w:val="6"/>
        <w:keepNext w:val="0"/>
        <w:keepLines w:val="0"/>
        <w:pageBreakBefore w:val="0"/>
        <w:numPr>
          <w:ilvl w:val="2"/>
          <w:numId w:val="0"/>
        </w:numPr>
        <w:tabs>
          <w:tab w:val="left" w:pos="540"/>
        </w:tabs>
        <w:kinsoku/>
        <w:wordWrap/>
        <w:overflowPunct/>
        <w:topLinePunct w:val="0"/>
        <w:bidi w:val="0"/>
        <w:snapToGrid/>
        <w:spacing w:line="360" w:lineRule="auto"/>
        <w:ind w:left="0" w:leftChars="0" w:firstLine="422" w:firstLineChars="200"/>
        <w:textAlignment w:val="auto"/>
        <w:rPr>
          <w:rFonts w:ascii="宋体" w:hAnsi="宋体" w:cs="宋体"/>
          <w:b/>
          <w:bCs/>
          <w:color w:val="auto"/>
          <w:highlight w:val="none"/>
        </w:rPr>
      </w:pPr>
      <w:bookmarkStart w:id="577" w:name="_Toc478741177"/>
      <w:bookmarkStart w:id="578" w:name="_Toc511916139"/>
      <w:bookmarkStart w:id="579" w:name="_Toc535418341"/>
      <w:bookmarkStart w:id="580" w:name="_Toc475463048"/>
      <w:bookmarkStart w:id="581" w:name="_Toc19804"/>
      <w:bookmarkStart w:id="582" w:name="_Toc535854363"/>
      <w:bookmarkStart w:id="583" w:name="_Toc475456347"/>
      <w:bookmarkStart w:id="584" w:name="_Toc475462210"/>
      <w:bookmarkStart w:id="585" w:name="_Toc513112185"/>
      <w:bookmarkStart w:id="586" w:name="_Toc508619442"/>
      <w:bookmarkStart w:id="587" w:name="_Toc17735"/>
      <w:bookmarkStart w:id="588" w:name="_Toc508036104"/>
      <w:bookmarkStart w:id="589" w:name="_Toc9977"/>
      <w:bookmarkStart w:id="590" w:name="_Toc528659920"/>
      <w:bookmarkStart w:id="591" w:name="_Toc513630969"/>
      <w:bookmarkStart w:id="592" w:name="_Toc500260860"/>
      <w:r>
        <w:rPr>
          <w:rFonts w:hint="eastAsia" w:ascii="宋体" w:hAnsi="宋体" w:eastAsia="宋体" w:cs="Times New Roman"/>
          <w:b/>
          <w:bCs/>
          <w:color w:val="auto"/>
          <w:sz w:val="21"/>
          <w:szCs w:val="21"/>
          <w:highlight w:val="none"/>
          <w:lang w:val="en-US" w:eastAsia="zh-CN" w:bidi="ar-SA"/>
        </w:rPr>
        <w:t xml:space="preserve">1. </w:t>
      </w:r>
      <w:r>
        <w:rPr>
          <w:rFonts w:hint="eastAsia" w:ascii="宋体" w:hAnsi="宋体" w:cs="宋体"/>
          <w:b/>
          <w:bCs/>
          <w:color w:val="auto"/>
          <w:highlight w:val="none"/>
        </w:rPr>
        <w:t>本项目不接受参选人提交纸质参选文件方式参选</w:t>
      </w:r>
      <w:r>
        <w:rPr>
          <w:rFonts w:hint="eastAsia" w:ascii="宋体" w:hAnsi="宋体" w:cs="宋体"/>
          <w:b/>
          <w:bCs/>
          <w:color w:val="auto"/>
          <w:highlight w:val="none"/>
          <w:lang w:eastAsia="zh-CN"/>
        </w:rPr>
        <w:t>。</w:t>
      </w:r>
    </w:p>
    <w:p w14:paraId="718A3E72">
      <w:pPr>
        <w:pStyle w:val="6"/>
        <w:keepNext w:val="0"/>
        <w:keepLines w:val="0"/>
        <w:pageBreakBefore w:val="0"/>
        <w:numPr>
          <w:ilvl w:val="2"/>
          <w:numId w:val="0"/>
        </w:numPr>
        <w:tabs>
          <w:tab w:val="left" w:pos="540"/>
        </w:tabs>
        <w:kinsoku/>
        <w:wordWrap/>
        <w:overflowPunct/>
        <w:topLinePunct w:val="0"/>
        <w:bidi w:val="0"/>
        <w:snapToGrid/>
        <w:spacing w:line="360" w:lineRule="auto"/>
        <w:ind w:left="0" w:leftChars="0" w:firstLine="422" w:firstLineChars="200"/>
        <w:textAlignment w:val="auto"/>
        <w:rPr>
          <w:rFonts w:ascii="宋体" w:hAnsi="宋体" w:cs="宋体"/>
          <w:b/>
          <w:bCs/>
          <w:color w:val="auto"/>
          <w:highlight w:val="none"/>
          <w:u w:val="none"/>
        </w:rPr>
      </w:pPr>
      <w:r>
        <w:rPr>
          <w:rFonts w:hint="eastAsia" w:ascii="宋体" w:hAnsi="宋体" w:eastAsia="宋体" w:cs="Times New Roman"/>
          <w:b/>
          <w:bCs/>
          <w:color w:val="auto"/>
          <w:sz w:val="21"/>
          <w:szCs w:val="21"/>
          <w:highlight w:val="none"/>
          <w:lang w:val="en-US" w:eastAsia="zh-CN" w:bidi="ar-SA"/>
        </w:rPr>
        <w:t xml:space="preserve">2. </w:t>
      </w:r>
      <w:r>
        <w:rPr>
          <w:rFonts w:hint="eastAsia" w:ascii="宋体" w:hAnsi="宋体" w:cs="宋体"/>
          <w:b/>
          <w:bCs/>
          <w:color w:val="auto"/>
          <w:highlight w:val="none"/>
          <w:u w:val="none"/>
        </w:rPr>
        <w:t>参选人须于参选截止时间前提交</w:t>
      </w:r>
      <w:r>
        <w:rPr>
          <w:rFonts w:hint="eastAsia" w:ascii="宋体" w:hAnsi="宋体" w:cs="宋体"/>
          <w:b/>
          <w:bCs/>
          <w:color w:val="auto"/>
          <w:highlight w:val="none"/>
          <w:u w:val="none"/>
          <w:lang w:eastAsia="zh-CN"/>
        </w:rPr>
        <w:t>加盖参选人公章的</w:t>
      </w:r>
      <w:r>
        <w:rPr>
          <w:rFonts w:hint="eastAsia" w:ascii="宋体" w:hAnsi="宋体" w:cs="宋体"/>
          <w:b/>
          <w:bCs/>
          <w:color w:val="auto"/>
          <w:highlight w:val="none"/>
          <w:u w:val="single"/>
          <w:lang w:val="en-US" w:eastAsia="zh-CN"/>
        </w:rPr>
        <w:t>格式为PDF的全彩色扫描</w:t>
      </w:r>
      <w:r>
        <w:rPr>
          <w:rFonts w:hint="eastAsia" w:ascii="宋体" w:hAnsi="宋体" w:cs="宋体"/>
          <w:b/>
          <w:bCs/>
          <w:color w:val="auto"/>
          <w:highlight w:val="none"/>
          <w:u w:val="none"/>
        </w:rPr>
        <w:t>电子参选文件（</w:t>
      </w:r>
      <w:r>
        <w:rPr>
          <w:rFonts w:hint="eastAsia" w:ascii="宋体" w:hAnsi="宋体" w:cs="宋体"/>
          <w:b/>
          <w:bCs/>
          <w:color w:val="auto"/>
          <w:sz w:val="21"/>
          <w:szCs w:val="21"/>
          <w:highlight w:val="none"/>
          <w:lang w:val="en-US" w:eastAsia="zh-CN"/>
        </w:rPr>
        <w:t>无病毒无密码、文件未压缩的</w:t>
      </w:r>
      <w:r>
        <w:rPr>
          <w:rFonts w:hint="eastAsia" w:ascii="宋体" w:hAnsi="宋体" w:cs="宋体"/>
          <w:b/>
          <w:bCs/>
          <w:color w:val="auto"/>
          <w:highlight w:val="none"/>
          <w:u w:val="none"/>
        </w:rPr>
        <w:t>U盘或光盘），并用信封密封递交，信封须注明项目名称、项目编号及参选人名称，同时须在信封封面及封口处加盖参选人公章</w:t>
      </w:r>
      <w:r>
        <w:rPr>
          <w:rFonts w:hint="eastAsia" w:ascii="宋体" w:hAnsi="宋体" w:cs="宋体"/>
          <w:b/>
          <w:bCs/>
          <w:color w:val="auto"/>
          <w:highlight w:val="none"/>
          <w:u w:val="none"/>
          <w:lang w:eastAsia="zh-CN"/>
        </w:rPr>
        <w:t>；</w:t>
      </w:r>
      <w:r>
        <w:rPr>
          <w:rFonts w:hint="eastAsia" w:ascii="宋体" w:hAnsi="宋体" w:cs="宋体"/>
          <w:b/>
          <w:bCs/>
          <w:color w:val="auto"/>
          <w:highlight w:val="none"/>
          <w:u w:val="none"/>
        </w:rPr>
        <w:t>参选截止时间</w:t>
      </w:r>
      <w:r>
        <w:rPr>
          <w:rFonts w:hint="eastAsia" w:ascii="宋体" w:hAnsi="宋体" w:cs="宋体"/>
          <w:b/>
          <w:bCs/>
          <w:color w:val="auto"/>
          <w:highlight w:val="none"/>
          <w:u w:val="none"/>
          <w:lang w:val="en-US" w:eastAsia="zh-CN"/>
        </w:rPr>
        <w:t>后不接收任何资料。</w:t>
      </w:r>
    </w:p>
    <w:p w14:paraId="2030358C">
      <w:pPr>
        <w:keepNext w:val="0"/>
        <w:keepLines w:val="0"/>
        <w:pageBreakBefore w:val="0"/>
        <w:numPr>
          <w:ilvl w:val="2"/>
          <w:numId w:val="0"/>
        </w:numPr>
        <w:kinsoku/>
        <w:wordWrap/>
        <w:overflowPunct/>
        <w:topLinePunct w:val="0"/>
        <w:bidi w:val="0"/>
        <w:snapToGrid/>
        <w:spacing w:line="360" w:lineRule="auto"/>
        <w:ind w:left="0" w:leftChars="0" w:firstLine="422" w:firstLineChars="200"/>
        <w:textAlignment w:val="auto"/>
        <w:rPr>
          <w:b/>
          <w:bCs/>
          <w:color w:val="auto"/>
          <w:highlight w:val="none"/>
          <w:u w:val="none"/>
        </w:rPr>
      </w:pPr>
      <w:r>
        <w:rPr>
          <w:rFonts w:hint="eastAsia" w:ascii="宋体" w:hAnsi="宋体" w:cs="Times New Roman"/>
          <w:b/>
          <w:bCs/>
          <w:color w:val="auto"/>
          <w:sz w:val="21"/>
          <w:szCs w:val="21"/>
          <w:highlight w:val="none"/>
          <w:lang w:val="en-US" w:eastAsia="zh-CN" w:bidi="ar-SA"/>
        </w:rPr>
        <w:t>3</w:t>
      </w:r>
      <w:r>
        <w:rPr>
          <w:rFonts w:hint="eastAsia" w:ascii="宋体" w:hAnsi="宋体" w:eastAsia="宋体" w:cs="Times New Roman"/>
          <w:b/>
          <w:bCs/>
          <w:color w:val="auto"/>
          <w:sz w:val="21"/>
          <w:szCs w:val="21"/>
          <w:highlight w:val="none"/>
          <w:lang w:val="en-US" w:eastAsia="zh-CN" w:bidi="ar-SA"/>
        </w:rPr>
        <w:t xml:space="preserve">. </w:t>
      </w:r>
      <w:r>
        <w:rPr>
          <w:rFonts w:hint="eastAsia" w:ascii="宋体" w:hAnsi="宋体" w:cs="宋体"/>
          <w:b/>
          <w:bCs/>
          <w:color w:val="auto"/>
          <w:highlight w:val="none"/>
          <w:u w:val="none"/>
          <w:lang w:val="en-US" w:eastAsia="zh-CN"/>
        </w:rPr>
        <w:t>参选人须确保电子参选文件能被正常读取，采购人及采购代理机构不承担无法读取的责任。</w:t>
      </w:r>
    </w:p>
    <w:p w14:paraId="669D325A">
      <w:pPr>
        <w:pStyle w:val="6"/>
        <w:keepNext w:val="0"/>
        <w:keepLines w:val="0"/>
        <w:pageBreakBefore w:val="0"/>
        <w:tabs>
          <w:tab w:val="left" w:pos="540"/>
        </w:tabs>
        <w:kinsoku/>
        <w:wordWrap/>
        <w:overflowPunct/>
        <w:topLinePunct w:val="0"/>
        <w:bidi w:val="0"/>
        <w:snapToGrid/>
        <w:spacing w:line="360" w:lineRule="auto"/>
        <w:ind w:left="0" w:firstLine="422" w:firstLineChars="200"/>
        <w:textAlignment w:val="auto"/>
        <w:rPr>
          <w:rFonts w:ascii="宋体" w:hAnsi="宋体" w:cs="宋体"/>
          <w:color w:val="auto"/>
          <w:highlight w:val="none"/>
        </w:rPr>
      </w:pPr>
      <w:r>
        <w:rPr>
          <w:rFonts w:hint="eastAsia" w:ascii="宋体" w:hAnsi="宋体" w:cs="宋体"/>
          <w:b/>
          <w:bCs/>
          <w:color w:val="auto"/>
          <w:highlight w:val="none"/>
          <w:lang w:val="en-US" w:eastAsia="zh-CN"/>
        </w:rPr>
        <w:t xml:space="preserve">4. </w:t>
      </w:r>
      <w:r>
        <w:rPr>
          <w:rFonts w:hint="eastAsia" w:ascii="宋体" w:hAnsi="宋体" w:eastAsia="宋体" w:cs="Times New Roman"/>
          <w:b/>
          <w:bCs/>
          <w:color w:val="auto"/>
          <w:sz w:val="21"/>
          <w:szCs w:val="21"/>
          <w:highlight w:val="none"/>
          <w:lang w:val="en-US" w:eastAsia="zh-CN" w:bidi="ar"/>
        </w:rPr>
        <w:t>为方便唱标，参选人应将《报价一览表》单独</w:t>
      </w:r>
      <w:r>
        <w:rPr>
          <w:rFonts w:hint="eastAsia" w:ascii="宋体" w:hAnsi="宋体" w:cs="Times New Roman"/>
          <w:b/>
          <w:bCs/>
          <w:color w:val="auto"/>
          <w:sz w:val="21"/>
          <w:szCs w:val="21"/>
          <w:highlight w:val="none"/>
          <w:lang w:val="en-US" w:eastAsia="zh-CN" w:bidi="ar"/>
        </w:rPr>
        <w:t>设置</w:t>
      </w:r>
      <w:r>
        <w:rPr>
          <w:rFonts w:hint="eastAsia" w:ascii="宋体" w:hAnsi="宋体" w:eastAsia="宋体" w:cs="Times New Roman"/>
          <w:b/>
          <w:bCs/>
          <w:color w:val="auto"/>
          <w:sz w:val="21"/>
          <w:szCs w:val="21"/>
          <w:highlight w:val="none"/>
          <w:lang w:val="en-US" w:eastAsia="zh-CN" w:bidi="ar"/>
        </w:rPr>
        <w:t>为一个PDF文件，并命名</w:t>
      </w:r>
      <w:r>
        <w:rPr>
          <w:rFonts w:hint="eastAsia" w:ascii="宋体" w:hAnsi="宋体" w:cs="Times New Roman"/>
          <w:b/>
          <w:bCs/>
          <w:color w:val="auto"/>
          <w:sz w:val="21"/>
          <w:szCs w:val="21"/>
          <w:highlight w:val="none"/>
          <w:lang w:val="en-US" w:eastAsia="zh-CN" w:bidi="ar"/>
        </w:rPr>
        <w:t>为</w:t>
      </w:r>
      <w:r>
        <w:rPr>
          <w:rFonts w:hint="eastAsia" w:ascii="宋体" w:hAnsi="宋体" w:eastAsia="宋体" w:cs="Times New Roman"/>
          <w:b/>
          <w:bCs/>
          <w:color w:val="auto"/>
          <w:sz w:val="21"/>
          <w:szCs w:val="21"/>
          <w:highlight w:val="none"/>
          <w:lang w:val="en-US" w:eastAsia="zh-CN" w:bidi="ar"/>
        </w:rPr>
        <w:t>“报价一览表”。</w:t>
      </w:r>
    </w:p>
    <w:p w14:paraId="78BCDB34">
      <w:pPr>
        <w:numPr>
          <w:ilvl w:val="1"/>
          <w:numId w:val="1"/>
        </w:numPr>
        <w:spacing w:line="360" w:lineRule="auto"/>
        <w:ind w:left="1134" w:hanging="709"/>
        <w:rPr>
          <w:rFonts w:ascii="宋体" w:hAnsi="宋体" w:cs="宋体"/>
          <w:color w:val="auto"/>
          <w:highlight w:val="none"/>
        </w:rPr>
      </w:pPr>
      <w:r>
        <w:rPr>
          <w:rFonts w:hint="eastAsia" w:ascii="宋体" w:hAnsi="宋体" w:cs="宋体"/>
          <w:b/>
          <w:bCs/>
          <w:color w:val="auto"/>
          <w:highlight w:val="none"/>
        </w:rPr>
        <w:t>参选文件的编写</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05FB023">
      <w:pPr>
        <w:numPr>
          <w:ilvl w:val="2"/>
          <w:numId w:val="1"/>
        </w:numPr>
        <w:tabs>
          <w:tab w:val="left" w:pos="900"/>
        </w:tabs>
        <w:spacing w:line="360" w:lineRule="auto"/>
        <w:ind w:left="0" w:firstLine="540"/>
        <w:rPr>
          <w:rFonts w:ascii="宋体" w:hAnsi="宋体" w:cs="宋体"/>
          <w:color w:val="auto"/>
          <w:highlight w:val="none"/>
        </w:rPr>
      </w:pPr>
      <w:bookmarkStart w:id="593" w:name="_Toc513134290"/>
      <w:bookmarkStart w:id="594" w:name="_Toc14641"/>
      <w:bookmarkStart w:id="595" w:name="_Toc508619443"/>
      <w:bookmarkStart w:id="596" w:name="_Toc530581129"/>
      <w:bookmarkStart w:id="597" w:name="_Toc519616304"/>
      <w:bookmarkStart w:id="598" w:name="_Toc526798305"/>
      <w:bookmarkStart w:id="599" w:name="_Toc527625259"/>
      <w:bookmarkStart w:id="600" w:name="_Toc535854364"/>
      <w:bookmarkStart w:id="601" w:name="_Toc508036105"/>
      <w:bookmarkStart w:id="602" w:name="_Toc23359"/>
      <w:bookmarkStart w:id="603" w:name="_Toc9737"/>
      <w:bookmarkStart w:id="604" w:name="_Toc2001"/>
      <w:r>
        <w:rPr>
          <w:rFonts w:hint="eastAsia" w:ascii="宋体" w:hAnsi="宋体" w:cs="宋体"/>
          <w:color w:val="auto"/>
          <w:highlight w:val="none"/>
        </w:rPr>
        <w:t>参选人应按遴选文件的规定及附件要求的内容和格式完整地填写和提供资料。参选人必须对参选文件所提供的全部资料的真实性承担法律责任，并无条件接受采购人对其中任何资料进行核实的要求。</w:t>
      </w:r>
      <w:bookmarkEnd w:id="593"/>
      <w:bookmarkEnd w:id="594"/>
      <w:bookmarkEnd w:id="595"/>
      <w:bookmarkEnd w:id="596"/>
      <w:bookmarkEnd w:id="597"/>
      <w:bookmarkEnd w:id="598"/>
      <w:bookmarkEnd w:id="599"/>
      <w:bookmarkEnd w:id="600"/>
      <w:bookmarkEnd w:id="601"/>
      <w:bookmarkEnd w:id="602"/>
      <w:bookmarkEnd w:id="603"/>
      <w:bookmarkEnd w:id="604"/>
    </w:p>
    <w:p w14:paraId="77EA1E93">
      <w:pPr>
        <w:numPr>
          <w:ilvl w:val="2"/>
          <w:numId w:val="1"/>
        </w:numPr>
        <w:tabs>
          <w:tab w:val="left" w:pos="900"/>
        </w:tabs>
        <w:spacing w:line="360" w:lineRule="auto"/>
        <w:ind w:left="0" w:firstLine="540"/>
        <w:rPr>
          <w:rFonts w:ascii="宋体" w:hAnsi="宋体" w:cs="宋体"/>
          <w:color w:val="auto"/>
          <w:highlight w:val="none"/>
        </w:rPr>
      </w:pPr>
      <w:bookmarkStart w:id="605" w:name="_Toc478741179"/>
      <w:bookmarkStart w:id="606" w:name="_Toc500260862"/>
      <w:bookmarkStart w:id="607" w:name="_Toc475463050"/>
      <w:bookmarkStart w:id="608" w:name="_Toc475456349"/>
      <w:bookmarkStart w:id="609" w:name="_Toc475462212"/>
      <w:bookmarkStart w:id="610" w:name="_Toc519616305"/>
      <w:bookmarkStart w:id="611" w:name="_Toc6224"/>
      <w:bookmarkStart w:id="612" w:name="_Toc535854365"/>
      <w:bookmarkStart w:id="613" w:name="_Toc508036106"/>
      <w:bookmarkStart w:id="614" w:name="_Toc513134291"/>
      <w:bookmarkStart w:id="615" w:name="_Toc16947"/>
      <w:bookmarkStart w:id="616" w:name="_Toc23391"/>
      <w:bookmarkStart w:id="617" w:name="_Toc530581130"/>
      <w:bookmarkStart w:id="618" w:name="_Toc526798306"/>
      <w:bookmarkStart w:id="619" w:name="_Toc5847"/>
      <w:bookmarkStart w:id="620" w:name="_Toc508619444"/>
      <w:bookmarkStart w:id="621" w:name="_Toc527625260"/>
      <w:r>
        <w:rPr>
          <w:rFonts w:hint="eastAsia" w:ascii="宋体" w:hAnsi="宋体" w:cs="宋体"/>
          <w:color w:val="auto"/>
          <w:highlight w:val="none"/>
        </w:rPr>
        <w:t>遴选文件中，</w:t>
      </w:r>
      <w:bookmarkEnd w:id="605"/>
      <w:bookmarkEnd w:id="606"/>
      <w:bookmarkEnd w:id="607"/>
      <w:bookmarkEnd w:id="608"/>
      <w:bookmarkEnd w:id="609"/>
      <w:r>
        <w:rPr>
          <w:rFonts w:hint="eastAsia" w:ascii="宋体" w:hAnsi="宋体" w:cs="宋体"/>
          <w:color w:val="auto"/>
          <w:highlight w:val="none"/>
        </w:rPr>
        <w:t>凡加注“★”的地方均为须实质响应条款，参选人若有一项加注“★”的条款未响应或不满足，将按无效参选处理。</w:t>
      </w:r>
      <w:bookmarkEnd w:id="610"/>
      <w:bookmarkEnd w:id="611"/>
      <w:bookmarkEnd w:id="612"/>
      <w:bookmarkEnd w:id="613"/>
      <w:bookmarkEnd w:id="614"/>
      <w:bookmarkEnd w:id="615"/>
      <w:bookmarkEnd w:id="616"/>
      <w:bookmarkEnd w:id="617"/>
      <w:bookmarkEnd w:id="618"/>
      <w:bookmarkEnd w:id="619"/>
      <w:bookmarkEnd w:id="620"/>
      <w:bookmarkEnd w:id="621"/>
    </w:p>
    <w:p w14:paraId="67E6584B">
      <w:pPr>
        <w:numPr>
          <w:ilvl w:val="2"/>
          <w:numId w:val="1"/>
        </w:numPr>
        <w:tabs>
          <w:tab w:val="left" w:pos="900"/>
        </w:tabs>
        <w:spacing w:line="360" w:lineRule="auto"/>
        <w:ind w:left="0" w:firstLine="540"/>
        <w:rPr>
          <w:rFonts w:ascii="宋体" w:hAnsi="宋体" w:cs="宋体"/>
          <w:color w:val="auto"/>
          <w:highlight w:val="none"/>
        </w:rPr>
      </w:pPr>
      <w:bookmarkStart w:id="622" w:name="_Toc2571"/>
      <w:bookmarkStart w:id="623" w:name="_Toc508036107"/>
      <w:bookmarkStart w:id="624" w:name="_Toc2946"/>
      <w:bookmarkStart w:id="625" w:name="_Toc475456350"/>
      <w:bookmarkStart w:id="626" w:name="_Toc519616306"/>
      <w:bookmarkStart w:id="627" w:name="_Toc527625261"/>
      <w:bookmarkStart w:id="628" w:name="_Toc500260863"/>
      <w:bookmarkStart w:id="629" w:name="_Toc478741180"/>
      <w:bookmarkStart w:id="630" w:name="_Toc513134292"/>
      <w:bookmarkStart w:id="631" w:name="_Toc535854366"/>
      <w:bookmarkStart w:id="632" w:name="_Toc10735"/>
      <w:bookmarkStart w:id="633" w:name="_Toc508619445"/>
      <w:bookmarkStart w:id="634" w:name="_Toc475463051"/>
      <w:bookmarkStart w:id="635" w:name="_Toc475462213"/>
      <w:bookmarkStart w:id="636" w:name="_Toc27934"/>
      <w:bookmarkStart w:id="637" w:name="_Toc530581131"/>
      <w:bookmarkStart w:id="638" w:name="_Toc526798307"/>
      <w:r>
        <w:rPr>
          <w:rFonts w:hint="eastAsia" w:ascii="宋体" w:hAnsi="宋体" w:cs="宋体"/>
          <w:color w:val="auto"/>
          <w:highlight w:val="none"/>
        </w:rPr>
        <w:t>除在遴选文件另有规定外，计量单位应使用中华人民共和国法定计量单位，以人民币填报所有报价。</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3ECEED1">
      <w:pPr>
        <w:numPr>
          <w:ilvl w:val="2"/>
          <w:numId w:val="1"/>
        </w:numPr>
        <w:tabs>
          <w:tab w:val="left" w:pos="900"/>
        </w:tabs>
        <w:spacing w:line="360" w:lineRule="auto"/>
        <w:ind w:left="0" w:firstLine="540"/>
        <w:rPr>
          <w:rFonts w:ascii="宋体" w:hAnsi="宋体" w:cs="宋体"/>
          <w:color w:val="auto"/>
          <w:highlight w:val="none"/>
        </w:rPr>
      </w:pPr>
      <w:bookmarkStart w:id="639" w:name="_Toc527625262"/>
      <w:bookmarkStart w:id="640" w:name="_Toc475462214"/>
      <w:bookmarkStart w:id="641" w:name="_Toc526798308"/>
      <w:bookmarkStart w:id="642" w:name="_Toc475463052"/>
      <w:bookmarkStart w:id="643" w:name="_Toc530581132"/>
      <w:bookmarkStart w:id="644" w:name="_Toc478741181"/>
      <w:bookmarkStart w:id="645" w:name="_Toc513134293"/>
      <w:bookmarkStart w:id="646" w:name="_Toc519616307"/>
      <w:bookmarkStart w:id="647" w:name="_Toc4995"/>
      <w:bookmarkStart w:id="648" w:name="_Toc535854367"/>
      <w:bookmarkStart w:id="649" w:name="_Toc25762"/>
      <w:bookmarkStart w:id="650" w:name="_Toc508619446"/>
      <w:bookmarkStart w:id="651" w:name="_Toc12508"/>
      <w:bookmarkStart w:id="652" w:name="_Toc2415"/>
      <w:bookmarkStart w:id="653" w:name="_Toc475456351"/>
      <w:bookmarkStart w:id="654" w:name="_Toc500260864"/>
      <w:bookmarkStart w:id="655" w:name="_Toc508036108"/>
      <w:r>
        <w:rPr>
          <w:rFonts w:hint="eastAsia" w:ascii="宋体" w:hAnsi="宋体" w:cs="宋体"/>
          <w:color w:val="auto"/>
          <w:highlight w:val="none"/>
        </w:rPr>
        <w:t>参选文件报价的编写要求</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024C9AA">
      <w:pPr>
        <w:numPr>
          <w:ilvl w:val="2"/>
          <w:numId w:val="2"/>
        </w:numPr>
        <w:tabs>
          <w:tab w:val="left" w:pos="0"/>
        </w:tabs>
        <w:spacing w:line="360" w:lineRule="auto"/>
        <w:ind w:left="0" w:firstLine="340"/>
        <w:rPr>
          <w:rFonts w:ascii="宋体" w:hAnsi="宋体" w:cs="宋体"/>
          <w:color w:val="auto"/>
          <w:highlight w:val="none"/>
        </w:rPr>
      </w:pPr>
      <w:bookmarkStart w:id="656" w:name="_Toc526798309"/>
      <w:bookmarkStart w:id="657" w:name="_Toc508619447"/>
      <w:bookmarkStart w:id="658" w:name="_Toc23792"/>
      <w:bookmarkStart w:id="659" w:name="_Toc513134294"/>
      <w:bookmarkStart w:id="660" w:name="_Toc475462215"/>
      <w:bookmarkStart w:id="661" w:name="_Toc475463053"/>
      <w:bookmarkStart w:id="662" w:name="_Toc478741182"/>
      <w:bookmarkStart w:id="663" w:name="_Toc519616308"/>
      <w:bookmarkStart w:id="664" w:name="_Toc527625263"/>
      <w:bookmarkStart w:id="665" w:name="_Toc535854368"/>
      <w:bookmarkStart w:id="666" w:name="_Toc500260865"/>
      <w:bookmarkStart w:id="667" w:name="_Toc508036109"/>
      <w:bookmarkStart w:id="668" w:name="_Toc21705"/>
      <w:bookmarkStart w:id="669" w:name="_Toc29116"/>
      <w:bookmarkStart w:id="670" w:name="_Toc9231"/>
      <w:bookmarkStart w:id="671" w:name="_Toc475456352"/>
      <w:bookmarkStart w:id="672" w:name="_Toc530581133"/>
      <w:r>
        <w:rPr>
          <w:rFonts w:hint="eastAsia" w:ascii="宋体" w:hAnsi="宋体" w:cs="宋体"/>
          <w:color w:val="auto"/>
          <w:highlight w:val="none"/>
        </w:rPr>
        <w:t>参选人必须按遴选文件指定的格式填写各种报价，各报价合计应计算正确。</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8589F1A">
      <w:pPr>
        <w:numPr>
          <w:ilvl w:val="2"/>
          <w:numId w:val="2"/>
        </w:numPr>
        <w:tabs>
          <w:tab w:val="left" w:pos="0"/>
        </w:tabs>
        <w:spacing w:line="360" w:lineRule="auto"/>
        <w:ind w:left="0" w:firstLine="340"/>
        <w:rPr>
          <w:rFonts w:ascii="宋体" w:hAnsi="宋体" w:cs="宋体"/>
          <w:color w:val="auto"/>
          <w:highlight w:val="none"/>
        </w:rPr>
      </w:pPr>
      <w:bookmarkStart w:id="673" w:name="_Toc475462216"/>
      <w:bookmarkStart w:id="674" w:name="_Toc478741183"/>
      <w:bookmarkStart w:id="675" w:name="_Toc475456353"/>
      <w:bookmarkStart w:id="676" w:name="_Toc500260866"/>
      <w:bookmarkStart w:id="677" w:name="_Toc475463054"/>
      <w:bookmarkStart w:id="678" w:name="_Toc513134295"/>
      <w:bookmarkStart w:id="679" w:name="_Toc519616309"/>
      <w:bookmarkStart w:id="680" w:name="_Toc7243"/>
      <w:bookmarkStart w:id="681" w:name="_Toc508036110"/>
      <w:bookmarkStart w:id="682" w:name="_Toc535854369"/>
      <w:bookmarkStart w:id="683" w:name="_Toc527625264"/>
      <w:bookmarkStart w:id="684" w:name="_Toc530581134"/>
      <w:bookmarkStart w:id="685" w:name="_Toc508619448"/>
      <w:bookmarkStart w:id="686" w:name="_Toc1903"/>
      <w:bookmarkStart w:id="687" w:name="_Toc526798310"/>
      <w:bookmarkStart w:id="688" w:name="_Toc11126"/>
      <w:bookmarkStart w:id="689" w:name="_Toc95"/>
      <w:r>
        <w:rPr>
          <w:rFonts w:hint="eastAsia" w:ascii="宋体" w:hAnsi="宋体" w:cs="宋体"/>
          <w:color w:val="auto"/>
          <w:highlight w:val="none"/>
        </w:rPr>
        <w:t>参选文件报价</w:t>
      </w:r>
      <w:bookmarkEnd w:id="673"/>
      <w:bookmarkEnd w:id="674"/>
      <w:bookmarkEnd w:id="675"/>
      <w:bookmarkEnd w:id="676"/>
      <w:bookmarkEnd w:id="677"/>
      <w:r>
        <w:rPr>
          <w:rFonts w:hint="eastAsia" w:ascii="宋体" w:hAnsi="宋体" w:cs="宋体"/>
          <w:color w:val="auto"/>
          <w:highlight w:val="none"/>
        </w:rPr>
        <w:t>包含遴选范围内的所有费用、培训辅导、售后服务、税费、雇员费用、合同实施过程中应预见和不可预见费用等等一切有关费用，如涉及软件许可使用或技术指导、人员培训的，还应包括软件许可费以及一切技术服务费、人员培训费，参选人不得再向采购人收取任何费用。</w:t>
      </w:r>
      <w:bookmarkEnd w:id="678"/>
      <w:bookmarkEnd w:id="679"/>
      <w:bookmarkEnd w:id="680"/>
      <w:bookmarkEnd w:id="681"/>
      <w:bookmarkEnd w:id="682"/>
      <w:bookmarkEnd w:id="683"/>
      <w:bookmarkEnd w:id="684"/>
      <w:bookmarkEnd w:id="685"/>
      <w:bookmarkEnd w:id="686"/>
      <w:bookmarkEnd w:id="687"/>
      <w:bookmarkEnd w:id="688"/>
      <w:bookmarkEnd w:id="689"/>
    </w:p>
    <w:p w14:paraId="5EF68E91">
      <w:pPr>
        <w:numPr>
          <w:ilvl w:val="2"/>
          <w:numId w:val="2"/>
        </w:numPr>
        <w:tabs>
          <w:tab w:val="left" w:pos="0"/>
        </w:tabs>
        <w:spacing w:line="360" w:lineRule="auto"/>
        <w:ind w:left="0" w:firstLine="340"/>
        <w:rPr>
          <w:rFonts w:ascii="宋体" w:hAnsi="宋体" w:cs="宋体"/>
          <w:color w:val="auto"/>
          <w:highlight w:val="none"/>
        </w:rPr>
      </w:pPr>
      <w:bookmarkStart w:id="690" w:name="_Toc475463055"/>
      <w:bookmarkStart w:id="691" w:name="_Toc527625265"/>
      <w:bookmarkStart w:id="692" w:name="_Toc519616310"/>
      <w:bookmarkStart w:id="693" w:name="_Toc1925"/>
      <w:bookmarkStart w:id="694" w:name="_Toc526798311"/>
      <w:bookmarkStart w:id="695" w:name="_Toc2947"/>
      <w:bookmarkStart w:id="696" w:name="_Toc500260867"/>
      <w:bookmarkStart w:id="697" w:name="_Toc513134296"/>
      <w:bookmarkStart w:id="698" w:name="_Toc27246"/>
      <w:bookmarkStart w:id="699" w:name="_Toc508619449"/>
      <w:bookmarkStart w:id="700" w:name="_Toc508036111"/>
      <w:bookmarkStart w:id="701" w:name="_Toc530581135"/>
      <w:bookmarkStart w:id="702" w:name="_Toc475456354"/>
      <w:bookmarkStart w:id="703" w:name="_Toc478741184"/>
      <w:bookmarkStart w:id="704" w:name="_Toc535854370"/>
      <w:bookmarkStart w:id="705" w:name="_Toc13085"/>
      <w:bookmarkStart w:id="706" w:name="_Toc475462217"/>
      <w:r>
        <w:rPr>
          <w:rFonts w:hint="eastAsia" w:ascii="宋体" w:hAnsi="宋体" w:cs="宋体"/>
          <w:color w:val="auto"/>
          <w:highlight w:val="none"/>
        </w:rPr>
        <w:t>参选人漏报的单价或每单价报价中漏报、少报的费用，视为此项费用已隐含在参选报价中，中选后不得再向采购人收取任何费用。</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0850880">
      <w:pPr>
        <w:numPr>
          <w:ilvl w:val="2"/>
          <w:numId w:val="2"/>
        </w:numPr>
        <w:tabs>
          <w:tab w:val="left" w:pos="0"/>
        </w:tabs>
        <w:spacing w:line="360" w:lineRule="auto"/>
        <w:ind w:left="0" w:firstLine="340"/>
        <w:rPr>
          <w:rFonts w:ascii="宋体" w:hAnsi="宋体" w:cs="宋体"/>
          <w:color w:val="auto"/>
          <w:highlight w:val="none"/>
        </w:rPr>
      </w:pPr>
      <w:bookmarkStart w:id="707" w:name="_Toc26237"/>
      <w:bookmarkStart w:id="708" w:name="_Toc503962181"/>
      <w:bookmarkStart w:id="709" w:name="_Toc4761"/>
      <w:bookmarkStart w:id="710" w:name="_Toc495397807"/>
      <w:bookmarkStart w:id="711" w:name="_Toc6949"/>
      <w:bookmarkStart w:id="712" w:name="_Toc503962524"/>
      <w:bookmarkStart w:id="713" w:name="_Toc527625267"/>
      <w:bookmarkStart w:id="714" w:name="_Toc513134298"/>
      <w:bookmarkStart w:id="715" w:name="_Toc526798313"/>
      <w:bookmarkStart w:id="716" w:name="_Toc7953"/>
      <w:bookmarkStart w:id="717" w:name="_Toc535854372"/>
      <w:bookmarkStart w:id="718" w:name="_Toc508619451"/>
      <w:bookmarkStart w:id="719" w:name="_Toc519616312"/>
      <w:bookmarkStart w:id="720" w:name="_Toc508036113"/>
      <w:bookmarkStart w:id="721" w:name="_Toc530581137"/>
      <w:r>
        <w:rPr>
          <w:rFonts w:hint="eastAsia" w:ascii="宋体" w:hAnsi="宋体" w:cs="宋体"/>
          <w:color w:val="auto"/>
          <w:highlight w:val="none"/>
        </w:rPr>
        <w:t>只允许参选人有一个参选方案，否则将被视为无效参选（允许报多个参选方案的除外）。</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2395CD3">
      <w:pPr>
        <w:numPr>
          <w:ilvl w:val="2"/>
          <w:numId w:val="1"/>
        </w:numPr>
        <w:tabs>
          <w:tab w:val="left" w:pos="900"/>
        </w:tabs>
        <w:spacing w:line="360" w:lineRule="auto"/>
        <w:ind w:left="0" w:firstLine="540"/>
        <w:rPr>
          <w:rFonts w:ascii="宋体" w:hAnsi="宋体" w:cs="宋体"/>
          <w:color w:val="auto"/>
          <w:highlight w:val="none"/>
        </w:rPr>
      </w:pPr>
      <w:bookmarkStart w:id="722" w:name="_Toc24142"/>
      <w:bookmarkStart w:id="723" w:name="_Toc16414"/>
      <w:bookmarkStart w:id="724" w:name="_Toc25913"/>
      <w:bookmarkStart w:id="725" w:name="_Toc508619452"/>
      <w:bookmarkStart w:id="726" w:name="_Toc8353"/>
      <w:bookmarkStart w:id="727" w:name="_Toc530581138"/>
      <w:bookmarkStart w:id="728" w:name="_Toc526798314"/>
      <w:bookmarkStart w:id="729" w:name="_Toc527625268"/>
      <w:bookmarkStart w:id="730" w:name="_Toc513134299"/>
      <w:bookmarkStart w:id="731" w:name="_Toc508036114"/>
      <w:bookmarkStart w:id="732" w:name="_Toc519616313"/>
      <w:bookmarkStart w:id="733" w:name="_Toc535854373"/>
      <w:r>
        <w:rPr>
          <w:rFonts w:hint="eastAsia" w:ascii="宋体" w:hAnsi="宋体" w:cs="宋体"/>
          <w:color w:val="auto"/>
          <w:highlight w:val="none"/>
        </w:rPr>
        <w:t>参选文件以及参选人与采购人就有关参选的往来函电均应使用中文。参选人提交的支持性文件和印制的文件可以用另一种语言，但相应内容应翻译成中文，在解释参选文件时以中文文本为准。</w:t>
      </w:r>
      <w:bookmarkEnd w:id="722"/>
      <w:bookmarkEnd w:id="723"/>
      <w:bookmarkEnd w:id="724"/>
      <w:bookmarkEnd w:id="725"/>
      <w:bookmarkEnd w:id="726"/>
      <w:bookmarkEnd w:id="727"/>
      <w:bookmarkEnd w:id="728"/>
      <w:bookmarkEnd w:id="729"/>
      <w:bookmarkEnd w:id="730"/>
      <w:bookmarkEnd w:id="731"/>
      <w:bookmarkEnd w:id="732"/>
      <w:bookmarkEnd w:id="733"/>
    </w:p>
    <w:p w14:paraId="2CDEACDB">
      <w:pPr>
        <w:numPr>
          <w:ilvl w:val="2"/>
          <w:numId w:val="1"/>
        </w:numPr>
        <w:spacing w:line="360" w:lineRule="auto"/>
        <w:ind w:left="0" w:firstLine="540"/>
        <w:rPr>
          <w:rFonts w:ascii="宋体" w:hAnsi="宋体" w:cs="宋体"/>
          <w:color w:val="auto"/>
          <w:highlight w:val="none"/>
        </w:rPr>
      </w:pPr>
      <w:bookmarkStart w:id="734" w:name="_Toc528659930"/>
      <w:bookmarkStart w:id="735" w:name="_Toc513112196"/>
      <w:bookmarkStart w:id="736" w:name="_Toc475463063"/>
      <w:bookmarkStart w:id="737" w:name="_Toc535418351"/>
      <w:bookmarkStart w:id="738" w:name="_Toc508036115"/>
      <w:bookmarkStart w:id="739" w:name="_Toc475456362"/>
      <w:bookmarkStart w:id="740" w:name="_Toc500260874"/>
      <w:bookmarkStart w:id="741" w:name="_Toc511916150"/>
      <w:bookmarkStart w:id="742" w:name="_Toc535854374"/>
      <w:bookmarkStart w:id="743" w:name="_Toc508619453"/>
      <w:bookmarkStart w:id="744" w:name="_Toc11690"/>
      <w:bookmarkStart w:id="745" w:name="_Toc32316"/>
      <w:bookmarkStart w:id="746" w:name="_Toc478741191"/>
      <w:bookmarkStart w:id="747" w:name="_Toc475462225"/>
      <w:bookmarkStart w:id="748" w:name="_Toc5593"/>
      <w:bookmarkStart w:id="749" w:name="_Toc513630980"/>
      <w:r>
        <w:rPr>
          <w:rFonts w:hint="eastAsia" w:ascii="宋体" w:hAnsi="宋体" w:cs="宋体"/>
          <w:color w:val="auto"/>
          <w:highlight w:val="none"/>
        </w:rPr>
        <w:t>参选文件须编</w:t>
      </w:r>
      <w:r>
        <w:rPr>
          <w:rFonts w:hint="eastAsia" w:ascii="宋体" w:hAnsi="宋体" w:cs="宋体"/>
          <w:color w:val="auto"/>
          <w:highlight w:val="none"/>
          <w:lang w:eastAsia="zh-CN"/>
        </w:rPr>
        <w:t>制</w:t>
      </w:r>
      <w:r>
        <w:rPr>
          <w:rFonts w:hint="eastAsia" w:ascii="宋体" w:hAnsi="宋体" w:cs="宋体"/>
          <w:color w:val="auto"/>
          <w:highlight w:val="none"/>
        </w:rPr>
        <w:t>页码。</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A8C42D2">
      <w:pPr>
        <w:numPr>
          <w:ilvl w:val="1"/>
          <w:numId w:val="1"/>
        </w:numPr>
        <w:spacing w:line="360" w:lineRule="auto"/>
        <w:ind w:left="1134" w:hanging="709"/>
        <w:rPr>
          <w:rFonts w:ascii="宋体" w:hAnsi="宋体" w:cs="宋体"/>
          <w:b/>
          <w:bCs/>
          <w:color w:val="auto"/>
          <w:highlight w:val="none"/>
        </w:rPr>
      </w:pPr>
      <w:bookmarkStart w:id="750" w:name="_Toc475463077"/>
      <w:bookmarkStart w:id="751" w:name="_Toc535854388"/>
      <w:bookmarkStart w:id="752" w:name="_Toc101843121"/>
      <w:bookmarkStart w:id="753" w:name="_Toc500260888"/>
      <w:bookmarkStart w:id="754" w:name="_Toc535418365"/>
      <w:bookmarkStart w:id="755" w:name="_Toc511916164"/>
      <w:bookmarkStart w:id="756" w:name="_Toc478741205"/>
      <w:bookmarkStart w:id="757" w:name="_Toc475456376"/>
      <w:bookmarkStart w:id="758" w:name="_Toc23682"/>
      <w:bookmarkStart w:id="759" w:name="_Toc513630994"/>
      <w:bookmarkStart w:id="760" w:name="_Toc101771368"/>
      <w:bookmarkStart w:id="761" w:name="_Toc508619467"/>
      <w:bookmarkStart w:id="762" w:name="_Toc513112210"/>
      <w:bookmarkStart w:id="763" w:name="_Toc508036129"/>
      <w:bookmarkStart w:id="764" w:name="_Toc528659944"/>
      <w:bookmarkStart w:id="765" w:name="_Toc475462239"/>
      <w:bookmarkStart w:id="766" w:name="_Toc101951254"/>
      <w:bookmarkStart w:id="767" w:name="_Toc134956130"/>
      <w:bookmarkStart w:id="768" w:name="_Toc813"/>
      <w:bookmarkStart w:id="769" w:name="_Toc20858"/>
      <w:bookmarkStart w:id="770" w:name="_Toc101775121"/>
      <w:r>
        <w:rPr>
          <w:rFonts w:hint="eastAsia" w:ascii="宋体" w:hAnsi="宋体" w:cs="宋体"/>
          <w:b/>
          <w:bCs/>
          <w:color w:val="auto"/>
          <w:highlight w:val="none"/>
        </w:rPr>
        <w:t>参选文件的修改、撤回与撤销</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7F474E6">
      <w:pPr>
        <w:numPr>
          <w:ilvl w:val="2"/>
          <w:numId w:val="1"/>
        </w:numPr>
        <w:spacing w:line="360" w:lineRule="auto"/>
        <w:ind w:left="0" w:firstLine="540"/>
        <w:rPr>
          <w:rFonts w:ascii="宋体" w:hAnsi="宋体" w:cs="宋体"/>
          <w:color w:val="auto"/>
          <w:highlight w:val="none"/>
        </w:rPr>
      </w:pPr>
      <w:bookmarkStart w:id="771" w:name="_Toc508619468"/>
      <w:bookmarkStart w:id="772" w:name="_Toc8706"/>
      <w:bookmarkStart w:id="773" w:name="_Toc508036130"/>
      <w:bookmarkStart w:id="774" w:name="_Toc513134315"/>
      <w:bookmarkStart w:id="775" w:name="_Toc26375"/>
      <w:bookmarkStart w:id="776" w:name="_Toc526798330"/>
      <w:bookmarkStart w:id="777" w:name="_Toc1801"/>
      <w:bookmarkStart w:id="778" w:name="_Toc519616329"/>
      <w:bookmarkStart w:id="779" w:name="_Toc535854389"/>
      <w:bookmarkStart w:id="780" w:name="_Toc527625284"/>
      <w:bookmarkStart w:id="781" w:name="_Toc530581154"/>
      <w:bookmarkStart w:id="782" w:name="_Toc6352"/>
      <w:bookmarkStart w:id="783" w:name="_Toc134955426"/>
      <w:r>
        <w:rPr>
          <w:color w:val="auto"/>
          <w:highlight w:val="none"/>
        </w:rPr>
        <w:t>在提交</w:t>
      </w:r>
      <w:r>
        <w:rPr>
          <w:rFonts w:hint="eastAsia"/>
          <w:color w:val="auto"/>
          <w:highlight w:val="none"/>
          <w:lang w:val="en-US" w:eastAsia="zh-CN"/>
        </w:rPr>
        <w:t>参选</w:t>
      </w:r>
      <w:r>
        <w:rPr>
          <w:color w:val="auto"/>
          <w:highlight w:val="none"/>
        </w:rPr>
        <w:t>文件截止时间前，</w:t>
      </w:r>
      <w:r>
        <w:rPr>
          <w:rFonts w:hint="eastAsia"/>
          <w:color w:val="auto"/>
          <w:highlight w:val="none"/>
          <w:lang w:val="en-US" w:eastAsia="zh-CN"/>
        </w:rPr>
        <w:t>参选</w:t>
      </w:r>
      <w:r>
        <w:rPr>
          <w:color w:val="auto"/>
          <w:highlight w:val="none"/>
        </w:rPr>
        <w:t>人</w:t>
      </w:r>
      <w:r>
        <w:rPr>
          <w:b/>
          <w:bCs/>
          <w:color w:val="auto"/>
          <w:highlight w:val="none"/>
        </w:rPr>
        <w:t>可以修改或撤回电子</w:t>
      </w:r>
      <w:r>
        <w:rPr>
          <w:rFonts w:hint="eastAsia"/>
          <w:b/>
          <w:bCs/>
          <w:color w:val="auto"/>
          <w:highlight w:val="none"/>
          <w:lang w:val="en-US" w:eastAsia="zh-CN"/>
        </w:rPr>
        <w:t>参选</w:t>
      </w:r>
      <w:r>
        <w:rPr>
          <w:b/>
          <w:bCs/>
          <w:color w:val="auto"/>
          <w:highlight w:val="none"/>
        </w:rPr>
        <w:t>文件</w:t>
      </w:r>
      <w:r>
        <w:rPr>
          <w:color w:val="auto"/>
          <w:highlight w:val="none"/>
        </w:rPr>
        <w:t>，并于</w:t>
      </w:r>
      <w:r>
        <w:rPr>
          <w:rFonts w:hint="eastAsia"/>
          <w:color w:val="auto"/>
          <w:highlight w:val="none"/>
          <w:lang w:val="en-US" w:eastAsia="zh-CN"/>
        </w:rPr>
        <w:t>参选</w:t>
      </w:r>
      <w:r>
        <w:rPr>
          <w:color w:val="auto"/>
          <w:highlight w:val="none"/>
        </w:rPr>
        <w:t>截止时间前将修改后重新生成的电子</w:t>
      </w:r>
      <w:r>
        <w:rPr>
          <w:rFonts w:hint="eastAsia"/>
          <w:color w:val="auto"/>
          <w:highlight w:val="none"/>
          <w:lang w:val="en-US" w:eastAsia="zh-CN"/>
        </w:rPr>
        <w:t>参选</w:t>
      </w:r>
      <w:r>
        <w:rPr>
          <w:color w:val="auto"/>
          <w:highlight w:val="none"/>
        </w:rPr>
        <w:t>文件</w:t>
      </w:r>
      <w:r>
        <w:rPr>
          <w:rFonts w:hint="eastAsia"/>
          <w:color w:val="auto"/>
          <w:highlight w:val="none"/>
          <w:lang w:val="en-US" w:eastAsia="zh-CN"/>
        </w:rPr>
        <w:t>提交至采购代理机构</w:t>
      </w:r>
      <w:r>
        <w:rPr>
          <w:color w:val="auto"/>
          <w:highlight w:val="none"/>
        </w:rPr>
        <w:t>。</w:t>
      </w:r>
      <w:bookmarkEnd w:id="771"/>
      <w:bookmarkEnd w:id="772"/>
      <w:bookmarkEnd w:id="773"/>
      <w:bookmarkEnd w:id="774"/>
      <w:bookmarkEnd w:id="775"/>
      <w:bookmarkEnd w:id="776"/>
      <w:bookmarkEnd w:id="777"/>
      <w:bookmarkEnd w:id="778"/>
      <w:bookmarkEnd w:id="779"/>
      <w:bookmarkEnd w:id="780"/>
      <w:bookmarkEnd w:id="781"/>
      <w:bookmarkEnd w:id="782"/>
    </w:p>
    <w:p w14:paraId="12E2A51C">
      <w:pPr>
        <w:numPr>
          <w:ilvl w:val="2"/>
          <w:numId w:val="1"/>
        </w:numPr>
        <w:spacing w:line="360" w:lineRule="auto"/>
        <w:ind w:left="0" w:firstLine="540"/>
        <w:rPr>
          <w:rFonts w:ascii="宋体" w:hAnsi="宋体" w:cs="宋体"/>
          <w:color w:val="auto"/>
          <w:highlight w:val="none"/>
        </w:rPr>
      </w:pPr>
      <w:bookmarkStart w:id="784" w:name="_Toc535854390"/>
      <w:bookmarkStart w:id="785" w:name="_Toc14569"/>
      <w:bookmarkStart w:id="786" w:name="_Toc478741207"/>
      <w:bookmarkStart w:id="787" w:name="_Toc530581155"/>
      <w:bookmarkStart w:id="788" w:name="_Toc475463079"/>
      <w:bookmarkStart w:id="789" w:name="_Toc526798331"/>
      <w:bookmarkStart w:id="790" w:name="_Toc475462241"/>
      <w:bookmarkStart w:id="791" w:name="_Toc8649"/>
      <w:bookmarkStart w:id="792" w:name="_Toc21112"/>
      <w:bookmarkStart w:id="793" w:name="_Toc495397827"/>
      <w:bookmarkStart w:id="794" w:name="_Toc519616330"/>
      <w:bookmarkStart w:id="795" w:name="_Toc8215"/>
      <w:bookmarkStart w:id="796" w:name="_Toc513134316"/>
      <w:bookmarkStart w:id="797" w:name="_Toc508619469"/>
      <w:bookmarkStart w:id="798" w:name="_Toc475456378"/>
      <w:bookmarkStart w:id="799" w:name="_Toc508036131"/>
      <w:bookmarkStart w:id="800" w:name="_Toc527625285"/>
      <w:bookmarkStart w:id="801" w:name="_Toc503962199"/>
      <w:bookmarkStart w:id="802" w:name="_Toc503962542"/>
      <w:r>
        <w:rPr>
          <w:color w:val="auto"/>
          <w:highlight w:val="none"/>
        </w:rPr>
        <w:t>在</w:t>
      </w:r>
      <w:r>
        <w:rPr>
          <w:rFonts w:hint="eastAsia"/>
          <w:color w:val="auto"/>
          <w:highlight w:val="none"/>
        </w:rPr>
        <w:t>参选</w:t>
      </w:r>
      <w:r>
        <w:rPr>
          <w:color w:val="auto"/>
          <w:highlight w:val="none"/>
        </w:rPr>
        <w:t>截止时间后，</w:t>
      </w:r>
      <w:r>
        <w:rPr>
          <w:rFonts w:hint="eastAsia"/>
          <w:color w:val="auto"/>
          <w:highlight w:val="none"/>
        </w:rPr>
        <w:t>参选</w:t>
      </w:r>
      <w:r>
        <w:rPr>
          <w:color w:val="auto"/>
          <w:highlight w:val="none"/>
        </w:rPr>
        <w:t>人不得补充、修改</w:t>
      </w:r>
      <w:r>
        <w:rPr>
          <w:rFonts w:hint="eastAsia"/>
          <w:color w:val="auto"/>
          <w:highlight w:val="none"/>
          <w:lang w:eastAsia="zh-CN"/>
        </w:rPr>
        <w:t>、</w:t>
      </w:r>
      <w:r>
        <w:rPr>
          <w:color w:val="auto"/>
          <w:highlight w:val="none"/>
        </w:rPr>
        <w:t>更换</w:t>
      </w:r>
      <w:r>
        <w:rPr>
          <w:rFonts w:hint="eastAsia"/>
          <w:color w:val="auto"/>
          <w:highlight w:val="none"/>
          <w:lang w:eastAsia="zh-CN"/>
        </w:rPr>
        <w:t>或撤回</w:t>
      </w:r>
      <w:r>
        <w:rPr>
          <w:rFonts w:hint="eastAsia"/>
          <w:color w:val="auto"/>
          <w:highlight w:val="none"/>
        </w:rPr>
        <w:t>参选</w:t>
      </w:r>
      <w:r>
        <w:rPr>
          <w:color w:val="auto"/>
          <w:highlight w:val="none"/>
        </w:rPr>
        <w:t>文件。</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560B4C9">
      <w:pPr>
        <w:numPr>
          <w:ilvl w:val="1"/>
          <w:numId w:val="1"/>
        </w:numPr>
        <w:spacing w:line="360" w:lineRule="auto"/>
        <w:ind w:left="1134" w:hanging="709"/>
        <w:rPr>
          <w:rFonts w:ascii="宋体" w:hAnsi="宋体" w:cs="宋体"/>
          <w:b/>
          <w:bCs/>
          <w:color w:val="auto"/>
          <w:highlight w:val="none"/>
        </w:rPr>
      </w:pPr>
      <w:bookmarkStart w:id="803" w:name="_Toc535854393"/>
      <w:bookmarkStart w:id="804" w:name="_Toc513630999"/>
      <w:bookmarkStart w:id="805" w:name="_Toc15116"/>
      <w:bookmarkStart w:id="806" w:name="_Toc954"/>
      <w:bookmarkStart w:id="807" w:name="_Toc475463082"/>
      <w:bookmarkStart w:id="808" w:name="_Toc508036134"/>
      <w:bookmarkStart w:id="809" w:name="_Toc475456381"/>
      <w:bookmarkStart w:id="810" w:name="_Toc535418370"/>
      <w:bookmarkStart w:id="811" w:name="_Toc513112215"/>
      <w:bookmarkStart w:id="812" w:name="_Toc500260893"/>
      <w:bookmarkStart w:id="813" w:name="_Toc17302"/>
      <w:bookmarkStart w:id="814" w:name="_Toc511916169"/>
      <w:bookmarkStart w:id="815" w:name="_Toc508619472"/>
      <w:bookmarkStart w:id="816" w:name="_Toc478741210"/>
      <w:bookmarkStart w:id="817" w:name="_Toc475462244"/>
      <w:bookmarkStart w:id="818" w:name="_Toc528659949"/>
      <w:bookmarkStart w:id="819" w:name="_Toc50276150"/>
      <w:bookmarkStart w:id="820" w:name="_Toc101951256"/>
      <w:bookmarkStart w:id="821" w:name="_Toc98579062"/>
      <w:bookmarkStart w:id="822" w:name="_Toc134956132"/>
      <w:bookmarkStart w:id="823" w:name="_Toc98579004"/>
      <w:bookmarkStart w:id="824" w:name="_Toc41723928"/>
      <w:bookmarkStart w:id="825" w:name="_Toc101771370"/>
      <w:bookmarkStart w:id="826" w:name="_Toc98579603"/>
      <w:bookmarkStart w:id="827" w:name="_Toc42394509"/>
      <w:bookmarkStart w:id="828" w:name="_Toc101775123"/>
      <w:bookmarkStart w:id="829" w:name="_Toc42394666"/>
      <w:bookmarkStart w:id="830" w:name="_Toc41884698"/>
      <w:bookmarkStart w:id="831" w:name="_Toc101843123"/>
      <w:bookmarkStart w:id="832" w:name="_Toc98580286"/>
      <w:bookmarkStart w:id="833" w:name="_Toc42313164"/>
      <w:r>
        <w:rPr>
          <w:rFonts w:hint="eastAsia" w:ascii="宋体" w:hAnsi="宋体" w:cs="宋体"/>
          <w:b/>
          <w:bCs/>
          <w:color w:val="auto"/>
          <w:highlight w:val="none"/>
        </w:rPr>
        <w:t>参选有效期</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F2E806B">
      <w:pPr>
        <w:pStyle w:val="6"/>
        <w:tabs>
          <w:tab w:val="left" w:pos="900"/>
        </w:tabs>
        <w:spacing w:line="360" w:lineRule="auto"/>
        <w:rPr>
          <w:rFonts w:ascii="宋体" w:hAnsi="宋体" w:cs="宋体"/>
          <w:color w:val="auto"/>
          <w:highlight w:val="none"/>
        </w:rPr>
      </w:pPr>
      <w:r>
        <w:rPr>
          <w:rFonts w:hint="eastAsia" w:ascii="宋体" w:hAnsi="宋体" w:cs="宋体"/>
          <w:color w:val="auto"/>
          <w:highlight w:val="none"/>
        </w:rPr>
        <w:t>参选有效期：递交参选文件截止之日起90天。</w:t>
      </w:r>
    </w:p>
    <w:p w14:paraId="3054D16C">
      <w:pPr>
        <w:pStyle w:val="6"/>
        <w:tabs>
          <w:tab w:val="left" w:pos="900"/>
        </w:tabs>
        <w:spacing w:line="360" w:lineRule="auto"/>
        <w:rPr>
          <w:rFonts w:ascii="宋体" w:hAnsi="宋体" w:cs="宋体"/>
          <w:color w:val="auto"/>
          <w:highlight w:val="none"/>
        </w:rPr>
      </w:pPr>
      <w:r>
        <w:rPr>
          <w:rFonts w:hint="eastAsia" w:ascii="宋体" w:hAnsi="宋体" w:cs="宋体"/>
          <w:color w:val="auto"/>
          <w:highlight w:val="none"/>
        </w:rPr>
        <w:t>在特殊情况下，采购人或采购代理机构可于参选有效期满之前要求参选人同意延长有效期，要求与答复均以书面形式进行，同时，参选保证金的有效期也相应延长。参选人可以拒绝上述要求，但其参选将会被拒绝并无息退还参选保证金（如有）；同意延期的参选人其权利与义务相应延至新的截止期。</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3B7BCC19">
      <w:pPr>
        <w:keepNext w:val="0"/>
        <w:keepLines w:val="0"/>
        <w:pageBreakBefore w:val="0"/>
        <w:widowControl/>
        <w:numPr>
          <w:ilvl w:val="1"/>
          <w:numId w:val="1"/>
        </w:numPr>
        <w:kinsoku/>
        <w:wordWrap/>
        <w:overflowPunct/>
        <w:topLinePunct w:val="0"/>
        <w:autoSpaceDE/>
        <w:autoSpaceDN/>
        <w:bidi w:val="0"/>
        <w:adjustRightInd/>
        <w:snapToGrid/>
        <w:spacing w:line="360" w:lineRule="auto"/>
        <w:ind w:left="1134" w:hanging="709"/>
        <w:textAlignment w:val="auto"/>
        <w:rPr>
          <w:rFonts w:ascii="宋体" w:hAnsi="宋体" w:cs="宋体"/>
          <w:b/>
          <w:bCs/>
          <w:color w:val="auto"/>
          <w:highlight w:val="none"/>
        </w:rPr>
      </w:pPr>
      <w:r>
        <w:rPr>
          <w:rFonts w:hint="eastAsia" w:ascii="宋体" w:hAnsi="宋体" w:cs="宋体"/>
          <w:b/>
          <w:bCs/>
          <w:color w:val="auto"/>
          <w:highlight w:val="none"/>
        </w:rPr>
        <w:t>参选保证金</w:t>
      </w:r>
    </w:p>
    <w:p w14:paraId="611C9A62">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 xml:space="preserve"> </w:t>
      </w:r>
      <w:r>
        <w:rPr>
          <w:rFonts w:hint="eastAsia" w:ascii="宋体" w:hAnsi="宋体" w:cs="宋体"/>
          <w:color w:val="auto"/>
          <w:highlight w:val="none"/>
        </w:rPr>
        <w:t>参选保证金： 人民币</w:t>
      </w:r>
      <w:r>
        <w:rPr>
          <w:rFonts w:hint="eastAsia" w:ascii="宋体" w:hAnsi="宋体" w:cs="宋体"/>
          <w:b/>
          <w:color w:val="auto"/>
          <w:highlight w:val="none"/>
          <w:u w:val="single"/>
          <w:lang w:val="en-US" w:eastAsia="zh-CN"/>
        </w:rPr>
        <w:t>19000</w:t>
      </w:r>
      <w:r>
        <w:rPr>
          <w:rFonts w:hint="eastAsia" w:ascii="宋体" w:hAnsi="宋体" w:cs="宋体"/>
          <w:color w:val="auto"/>
          <w:highlight w:val="none"/>
        </w:rPr>
        <w:t>元</w:t>
      </w:r>
      <w:r>
        <w:rPr>
          <w:rFonts w:hint="eastAsia" w:ascii="宋体" w:hAnsi="宋体" w:cs="宋体"/>
          <w:color w:val="auto"/>
          <w:highlight w:val="none"/>
          <w:lang w:eastAsia="zh-CN"/>
        </w:rPr>
        <w:t>。</w:t>
      </w:r>
    </w:p>
    <w:p w14:paraId="354D473D">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hint="eastAsia" w:ascii="宋体" w:hAnsi="宋体" w:cs="宋体"/>
          <w:color w:val="auto"/>
          <w:highlight w:val="none"/>
          <w:lang w:eastAsia="zh-CN"/>
        </w:rPr>
      </w:pPr>
      <w:r>
        <w:rPr>
          <w:rFonts w:hint="eastAsia" w:ascii="宋体" w:hAnsi="宋体" w:cs="宋体"/>
          <w:color w:val="auto"/>
          <w:highlight w:val="none"/>
        </w:rPr>
        <w:t>2.</w:t>
      </w:r>
      <w:r>
        <w:rPr>
          <w:rFonts w:hint="eastAsia" w:ascii="宋体" w:hAnsi="宋体" w:cs="宋体"/>
          <w:color w:val="auto"/>
          <w:highlight w:val="none"/>
          <w:lang w:val="en-US" w:eastAsia="zh-CN"/>
        </w:rPr>
        <w:t xml:space="preserve"> </w:t>
      </w:r>
      <w:r>
        <w:rPr>
          <w:rFonts w:hint="eastAsia" w:ascii="宋体" w:hAnsi="宋体" w:cs="宋体"/>
          <w:color w:val="auto"/>
          <w:highlight w:val="none"/>
        </w:rPr>
        <w:t>参选保证金缴纳方式： 以银行转账、银行汇款、支票、汇票、本票或金融机构、担保机构、保险机构出具的保函等非现金形式。采购代理机构不接受以现金方式提交的</w:t>
      </w:r>
      <w:r>
        <w:rPr>
          <w:rFonts w:hint="eastAsia" w:ascii="宋体" w:hAnsi="宋体" w:cs="宋体"/>
          <w:color w:val="auto"/>
          <w:highlight w:val="none"/>
          <w:lang w:eastAsia="zh-CN"/>
        </w:rPr>
        <w:t>参选</w:t>
      </w:r>
      <w:r>
        <w:rPr>
          <w:rFonts w:hint="eastAsia" w:ascii="宋体" w:hAnsi="宋体" w:cs="宋体"/>
          <w:color w:val="auto"/>
          <w:highlight w:val="none"/>
        </w:rPr>
        <w:t>保证金</w:t>
      </w:r>
      <w:r>
        <w:rPr>
          <w:rFonts w:hint="eastAsia" w:ascii="宋体" w:hAnsi="宋体" w:cs="宋体"/>
          <w:color w:val="auto"/>
          <w:highlight w:val="none"/>
          <w:lang w:eastAsia="zh-CN"/>
        </w:rPr>
        <w:t>。</w:t>
      </w:r>
    </w:p>
    <w:p w14:paraId="5D571037">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lang w:val="en-US" w:eastAsia="zh-CN"/>
        </w:rPr>
        <w:t xml:space="preserve">3. </w:t>
      </w:r>
      <w:r>
        <w:rPr>
          <w:rFonts w:hint="eastAsia" w:ascii="宋体" w:hAnsi="宋体" w:eastAsia="宋体" w:cs="宋体"/>
          <w:color w:val="auto"/>
          <w:sz w:val="21"/>
          <w:szCs w:val="21"/>
          <w:highlight w:val="none"/>
          <w:lang w:val="en-US" w:eastAsia="zh-CN"/>
        </w:rPr>
        <w:t>参选</w:t>
      </w:r>
      <w:r>
        <w:rPr>
          <w:rFonts w:hint="eastAsia" w:ascii="宋体" w:hAnsi="宋体" w:eastAsia="宋体" w:cs="宋体"/>
          <w:color w:val="auto"/>
          <w:sz w:val="21"/>
          <w:szCs w:val="21"/>
          <w:highlight w:val="none"/>
        </w:rPr>
        <w:t>截止时间后不再接受</w:t>
      </w:r>
      <w:r>
        <w:rPr>
          <w:rFonts w:hint="eastAsia" w:ascii="宋体" w:hAnsi="宋体" w:eastAsia="宋体" w:cs="宋体"/>
          <w:color w:val="auto"/>
          <w:sz w:val="21"/>
          <w:szCs w:val="21"/>
          <w:highlight w:val="none"/>
          <w:lang w:val="en-US" w:eastAsia="zh-CN"/>
        </w:rPr>
        <w:t>参选人</w:t>
      </w:r>
      <w:r>
        <w:rPr>
          <w:rFonts w:hint="eastAsia" w:ascii="宋体" w:hAnsi="宋体" w:eastAsia="宋体" w:cs="宋体"/>
          <w:color w:val="auto"/>
          <w:sz w:val="21"/>
          <w:szCs w:val="21"/>
          <w:highlight w:val="none"/>
        </w:rPr>
        <w:t>提交的</w:t>
      </w:r>
      <w:r>
        <w:rPr>
          <w:rFonts w:hint="eastAsia" w:ascii="宋体" w:hAnsi="宋体" w:eastAsia="宋体" w:cs="宋体"/>
          <w:color w:val="auto"/>
          <w:sz w:val="21"/>
          <w:szCs w:val="21"/>
          <w:highlight w:val="none"/>
          <w:lang w:val="en-US" w:eastAsia="zh-CN"/>
        </w:rPr>
        <w:t>参选</w:t>
      </w:r>
      <w:r>
        <w:rPr>
          <w:rFonts w:hint="eastAsia" w:ascii="宋体" w:hAnsi="宋体" w:eastAsia="宋体" w:cs="宋体"/>
          <w:color w:val="auto"/>
          <w:sz w:val="21"/>
          <w:szCs w:val="21"/>
          <w:highlight w:val="none"/>
        </w:rPr>
        <w:t>保证金。</w:t>
      </w:r>
    </w:p>
    <w:p w14:paraId="15227EC1">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hint="eastAsia" w:ascii="宋体" w:hAnsi="宋体" w:cs="宋体"/>
          <w:color w:val="auto"/>
          <w:highlight w:val="none"/>
        </w:rPr>
      </w:pPr>
      <w:r>
        <w:rPr>
          <w:rFonts w:hint="eastAsia" w:ascii="宋体" w:hAnsi="宋体" w:cs="宋体"/>
          <w:color w:val="auto"/>
          <w:highlight w:val="none"/>
          <w:lang w:val="en-US" w:eastAsia="zh-CN"/>
        </w:rPr>
        <w:t>4</w:t>
      </w:r>
      <w:r>
        <w:rPr>
          <w:rFonts w:hint="eastAsia" w:ascii="宋体" w:hAnsi="宋体" w:cs="宋体"/>
          <w:color w:val="auto"/>
          <w:highlight w:val="none"/>
        </w:rPr>
        <w:t>.</w:t>
      </w:r>
      <w:r>
        <w:rPr>
          <w:rFonts w:hint="eastAsia" w:ascii="宋体" w:hAnsi="宋体" w:cs="宋体"/>
          <w:color w:val="auto"/>
          <w:highlight w:val="none"/>
          <w:lang w:val="en-US" w:eastAsia="zh-CN"/>
        </w:rPr>
        <w:t xml:space="preserve"> </w:t>
      </w:r>
      <w:r>
        <w:rPr>
          <w:rFonts w:hint="eastAsia" w:ascii="宋体" w:hAnsi="宋体" w:cs="宋体"/>
          <w:b/>
          <w:bCs/>
          <w:color w:val="auto"/>
          <w:highlight w:val="none"/>
          <w:lang w:eastAsia="zh-CN"/>
        </w:rPr>
        <w:t>参选</w:t>
      </w:r>
      <w:r>
        <w:rPr>
          <w:rFonts w:hint="eastAsia" w:ascii="宋体" w:hAnsi="宋体" w:cs="宋体"/>
          <w:b/>
          <w:bCs/>
          <w:color w:val="auto"/>
          <w:highlight w:val="none"/>
        </w:rPr>
        <w:t>保证金作为</w:t>
      </w:r>
      <w:r>
        <w:rPr>
          <w:rFonts w:hint="eastAsia" w:ascii="宋体" w:hAnsi="宋体" w:cs="宋体"/>
          <w:b/>
          <w:bCs/>
          <w:color w:val="auto"/>
          <w:highlight w:val="none"/>
          <w:lang w:eastAsia="zh-CN"/>
        </w:rPr>
        <w:t>参选</w:t>
      </w:r>
      <w:r>
        <w:rPr>
          <w:rFonts w:hint="eastAsia" w:ascii="宋体" w:hAnsi="宋体" w:cs="宋体"/>
          <w:b/>
          <w:bCs/>
          <w:color w:val="auto"/>
          <w:highlight w:val="none"/>
        </w:rPr>
        <w:t>人</w:t>
      </w:r>
      <w:r>
        <w:rPr>
          <w:rFonts w:hint="eastAsia" w:ascii="宋体" w:hAnsi="宋体" w:cs="宋体"/>
          <w:b/>
          <w:bCs/>
          <w:color w:val="auto"/>
          <w:highlight w:val="none"/>
          <w:lang w:eastAsia="zh-CN"/>
        </w:rPr>
        <w:t>参选</w:t>
      </w:r>
      <w:r>
        <w:rPr>
          <w:rFonts w:hint="eastAsia" w:ascii="宋体" w:hAnsi="宋体" w:cs="宋体"/>
          <w:b/>
          <w:bCs/>
          <w:color w:val="auto"/>
          <w:highlight w:val="none"/>
        </w:rPr>
        <w:t>的组成部分，与</w:t>
      </w:r>
      <w:r>
        <w:rPr>
          <w:rFonts w:hint="eastAsia" w:ascii="宋体" w:hAnsi="宋体" w:cs="宋体"/>
          <w:b/>
          <w:bCs/>
          <w:color w:val="auto"/>
          <w:highlight w:val="none"/>
          <w:lang w:eastAsia="zh-CN"/>
        </w:rPr>
        <w:t>参选</w:t>
      </w:r>
      <w:r>
        <w:rPr>
          <w:rFonts w:hint="eastAsia" w:ascii="宋体" w:hAnsi="宋体" w:cs="宋体"/>
          <w:b/>
          <w:bCs/>
          <w:color w:val="auto"/>
          <w:highlight w:val="none"/>
        </w:rPr>
        <w:t>文件一同递交。</w:t>
      </w:r>
      <w:r>
        <w:rPr>
          <w:rFonts w:hint="eastAsia" w:ascii="宋体" w:hAnsi="宋体" w:cs="宋体"/>
          <w:color w:val="auto"/>
          <w:highlight w:val="none"/>
        </w:rPr>
        <w:t xml:space="preserve">参选保证金递交注意事项： </w:t>
      </w:r>
    </w:p>
    <w:p w14:paraId="5088650A">
      <w:pPr>
        <w:pStyle w:val="6"/>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如采用支票、汇票、本票形式提交的：票据原件可单独封装，与电子参选文件同时送达指定的递交地点，票据复印件或打印件放入电子参选文件中。注明事由：（项目编号：</w:t>
      </w:r>
      <w:r>
        <w:rPr>
          <w:rFonts w:hint="eastAsia" w:ascii="宋体" w:hAnsi="宋体" w:cs="宋体"/>
          <w:color w:val="auto"/>
          <w:highlight w:val="none"/>
          <w:lang w:eastAsia="zh-CN"/>
        </w:rPr>
        <w:t>GZZJ-FG-2026114</w:t>
      </w:r>
      <w:r>
        <w:rPr>
          <w:rFonts w:hint="eastAsia" w:ascii="宋体" w:hAnsi="宋体" w:eastAsia="宋体" w:cs="宋体"/>
          <w:color w:val="auto"/>
          <w:highlight w:val="none"/>
        </w:rPr>
        <w:t>）参选保证金。</w:t>
      </w:r>
    </w:p>
    <w:p w14:paraId="064ABF9F">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如采用银行转账形式的，必须于</w:t>
      </w:r>
      <w:r>
        <w:rPr>
          <w:rFonts w:hint="eastAsia" w:ascii="宋体" w:hAnsi="宋体" w:eastAsia="宋体" w:cs="宋体"/>
          <w:color w:val="auto"/>
          <w:sz w:val="21"/>
          <w:szCs w:val="21"/>
          <w:highlight w:val="none"/>
          <w:lang w:val="en-US" w:eastAsia="zh-CN"/>
        </w:rPr>
        <w:t>参选</w:t>
      </w:r>
      <w:r>
        <w:rPr>
          <w:rFonts w:hint="eastAsia" w:ascii="宋体" w:hAnsi="宋体" w:eastAsia="宋体" w:cs="宋体"/>
          <w:color w:val="auto"/>
          <w:sz w:val="21"/>
          <w:szCs w:val="21"/>
          <w:highlight w:val="none"/>
        </w:rPr>
        <w:t>截止时间前到达</w:t>
      </w:r>
      <w:r>
        <w:rPr>
          <w:rFonts w:hint="eastAsia" w:ascii="宋体" w:hAnsi="宋体" w:cs="宋体"/>
          <w:color w:val="auto"/>
          <w:sz w:val="21"/>
          <w:szCs w:val="21"/>
          <w:highlight w:val="none"/>
          <w:lang w:eastAsia="zh-CN"/>
        </w:rPr>
        <w:t>下述</w:t>
      </w:r>
      <w:r>
        <w:rPr>
          <w:rFonts w:hint="eastAsia" w:ascii="宋体" w:hAnsi="宋体" w:eastAsia="宋体" w:cs="宋体"/>
          <w:color w:val="auto"/>
          <w:sz w:val="21"/>
          <w:szCs w:val="21"/>
          <w:highlight w:val="none"/>
        </w:rPr>
        <w:t>指定账户，以到达指定账户的时间为准</w:t>
      </w:r>
      <w:r>
        <w:rPr>
          <w:rFonts w:hint="eastAsia" w:ascii="宋体" w:hAnsi="宋体" w:cs="宋体"/>
          <w:color w:val="auto"/>
          <w:sz w:val="21"/>
          <w:szCs w:val="21"/>
          <w:highlight w:val="none"/>
          <w:lang w:eastAsia="zh-CN"/>
        </w:rPr>
        <w:t>：</w:t>
      </w:r>
    </w:p>
    <w:p w14:paraId="2CB1DB7D">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收款人：广州中经招标有限公司</w:t>
      </w:r>
    </w:p>
    <w:p w14:paraId="7AA7E533">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开户银行：广发银行广州五羊新城支行</w:t>
      </w:r>
    </w:p>
    <w:p w14:paraId="1E7DE5B6">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账号：9550880203416300174</w:t>
      </w:r>
    </w:p>
    <w:p w14:paraId="365F539E">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5</w:t>
      </w:r>
      <w:r>
        <w:rPr>
          <w:rFonts w:hint="eastAsia" w:ascii="宋体" w:hAnsi="宋体" w:cs="宋体"/>
          <w:color w:val="auto"/>
          <w:highlight w:val="none"/>
        </w:rPr>
        <w:t>.</w:t>
      </w:r>
      <w:r>
        <w:rPr>
          <w:rFonts w:hint="eastAsia" w:ascii="宋体" w:hAnsi="宋体" w:cs="宋体"/>
          <w:color w:val="auto"/>
          <w:highlight w:val="none"/>
          <w:lang w:val="en-US" w:eastAsia="zh-CN"/>
        </w:rPr>
        <w:t xml:space="preserve"> </w:t>
      </w:r>
      <w:r>
        <w:rPr>
          <w:rFonts w:hint="eastAsia" w:ascii="宋体" w:hAnsi="宋体" w:cs="宋体"/>
          <w:color w:val="auto"/>
          <w:highlight w:val="none"/>
          <w:lang w:eastAsia="zh-CN"/>
        </w:rPr>
        <w:t>参选</w:t>
      </w:r>
      <w:r>
        <w:rPr>
          <w:rFonts w:hint="eastAsia" w:ascii="宋体" w:hAnsi="宋体" w:cs="宋体"/>
          <w:color w:val="auto"/>
          <w:highlight w:val="none"/>
        </w:rPr>
        <w:t>人在</w:t>
      </w:r>
      <w:r>
        <w:rPr>
          <w:rFonts w:hint="eastAsia" w:ascii="宋体" w:hAnsi="宋体" w:cs="宋体"/>
          <w:color w:val="auto"/>
          <w:highlight w:val="none"/>
          <w:lang w:eastAsia="zh-CN"/>
        </w:rPr>
        <w:t>参选</w:t>
      </w:r>
      <w:r>
        <w:rPr>
          <w:rFonts w:hint="eastAsia" w:ascii="宋体" w:hAnsi="宋体" w:cs="宋体"/>
          <w:color w:val="auto"/>
          <w:highlight w:val="none"/>
        </w:rPr>
        <w:t>截止时间前撤回已提交的</w:t>
      </w:r>
      <w:r>
        <w:rPr>
          <w:rFonts w:hint="eastAsia" w:ascii="宋体" w:hAnsi="宋体" w:cs="宋体"/>
          <w:color w:val="auto"/>
          <w:highlight w:val="none"/>
          <w:lang w:eastAsia="zh-CN"/>
        </w:rPr>
        <w:t>参选</w:t>
      </w:r>
      <w:r>
        <w:rPr>
          <w:rFonts w:hint="eastAsia" w:ascii="宋体" w:hAnsi="宋体" w:cs="宋体"/>
          <w:color w:val="auto"/>
          <w:highlight w:val="none"/>
        </w:rPr>
        <w:t>文件的，采购代理机构在收到</w:t>
      </w:r>
      <w:r>
        <w:rPr>
          <w:rFonts w:hint="eastAsia" w:ascii="宋体" w:hAnsi="宋体" w:cs="宋体"/>
          <w:color w:val="auto"/>
          <w:highlight w:val="none"/>
          <w:lang w:eastAsia="zh-CN"/>
        </w:rPr>
        <w:t>参选</w:t>
      </w:r>
      <w:r>
        <w:rPr>
          <w:rFonts w:hint="eastAsia" w:ascii="宋体" w:hAnsi="宋体" w:cs="宋体"/>
          <w:color w:val="auto"/>
          <w:highlight w:val="none"/>
        </w:rPr>
        <w:t>人书面撤回通知之日起五个工作日内，退还已收取的</w:t>
      </w:r>
      <w:r>
        <w:rPr>
          <w:rFonts w:hint="eastAsia" w:ascii="宋体" w:hAnsi="宋体" w:cs="宋体"/>
          <w:color w:val="auto"/>
          <w:highlight w:val="none"/>
          <w:lang w:eastAsia="zh-CN"/>
        </w:rPr>
        <w:t>参选</w:t>
      </w:r>
      <w:r>
        <w:rPr>
          <w:rFonts w:hint="eastAsia" w:ascii="宋体" w:hAnsi="宋体" w:cs="宋体"/>
          <w:color w:val="auto"/>
          <w:highlight w:val="none"/>
        </w:rPr>
        <w:t>保证金，但因</w:t>
      </w:r>
      <w:r>
        <w:rPr>
          <w:rFonts w:hint="eastAsia" w:ascii="宋体" w:hAnsi="宋体" w:cs="宋体"/>
          <w:color w:val="auto"/>
          <w:highlight w:val="none"/>
          <w:lang w:eastAsia="zh-CN"/>
        </w:rPr>
        <w:t>参选</w:t>
      </w:r>
      <w:r>
        <w:rPr>
          <w:rFonts w:hint="eastAsia" w:ascii="宋体" w:hAnsi="宋体" w:cs="宋体"/>
          <w:color w:val="auto"/>
          <w:highlight w:val="none"/>
        </w:rPr>
        <w:t>人自身原因导致无法及时退还的除外。</w:t>
      </w:r>
    </w:p>
    <w:p w14:paraId="4D74C88C">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lang w:val="en-US" w:eastAsia="zh-CN"/>
        </w:rPr>
        <w:t>6</w:t>
      </w:r>
      <w:r>
        <w:rPr>
          <w:rFonts w:hint="eastAsia" w:ascii="宋体" w:hAnsi="宋体" w:cs="宋体"/>
          <w:color w:val="auto"/>
          <w:highlight w:val="none"/>
        </w:rPr>
        <w:t>.</w:t>
      </w:r>
      <w:r>
        <w:rPr>
          <w:rFonts w:hint="eastAsia" w:ascii="宋体" w:hAnsi="宋体" w:cs="宋体"/>
          <w:color w:val="auto"/>
          <w:highlight w:val="none"/>
          <w:lang w:val="en-US" w:eastAsia="zh-CN"/>
        </w:rPr>
        <w:t xml:space="preserve"> </w:t>
      </w:r>
      <w:r>
        <w:rPr>
          <w:rFonts w:hint="eastAsia" w:ascii="宋体" w:hAnsi="宋体" w:cs="宋体"/>
          <w:color w:val="auto"/>
          <w:highlight w:val="none"/>
        </w:rPr>
        <w:t>对于中选人，参选保证金将保持全部的约束力，直到中选人与采购人签订了合同。</w:t>
      </w:r>
    </w:p>
    <w:p w14:paraId="4794D8AB">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lang w:val="en-US" w:eastAsia="zh-CN"/>
        </w:rPr>
        <w:t>7</w:t>
      </w:r>
      <w:r>
        <w:rPr>
          <w:rFonts w:hint="eastAsia" w:ascii="宋体" w:hAnsi="宋体" w:cs="宋体"/>
          <w:color w:val="auto"/>
          <w:highlight w:val="none"/>
        </w:rPr>
        <w:t>.</w:t>
      </w:r>
      <w:r>
        <w:rPr>
          <w:rFonts w:hint="eastAsia" w:ascii="宋体" w:hAnsi="宋体" w:cs="宋体"/>
          <w:color w:val="auto"/>
          <w:highlight w:val="none"/>
          <w:lang w:val="en-US" w:eastAsia="zh-CN"/>
        </w:rPr>
        <w:t xml:space="preserve"> </w:t>
      </w:r>
      <w:r>
        <w:rPr>
          <w:rFonts w:hint="eastAsia" w:ascii="宋体" w:hAnsi="宋体" w:cs="宋体"/>
          <w:color w:val="auto"/>
          <w:highlight w:val="none"/>
        </w:rPr>
        <w:t>采购代理机构在中选通知书发出后的五个工作日内按采购代理机构规定程序原额</w:t>
      </w:r>
      <w:r>
        <w:rPr>
          <w:rFonts w:hint="eastAsia" w:ascii="宋体" w:hAnsi="宋体" w:cs="宋体"/>
          <w:color w:val="auto"/>
          <w:highlight w:val="none"/>
          <w:lang w:eastAsia="zh-CN"/>
        </w:rPr>
        <w:t>无息</w:t>
      </w:r>
      <w:r>
        <w:rPr>
          <w:rFonts w:hint="eastAsia" w:ascii="宋体" w:hAnsi="宋体" w:cs="宋体"/>
          <w:color w:val="auto"/>
          <w:highlight w:val="none"/>
        </w:rPr>
        <w:t>退还未中选人的参选保证金。采购代理机构收到中选人提交的合同后五个工作日内原额退还其参选保证金。</w:t>
      </w:r>
    </w:p>
    <w:p w14:paraId="0E5E6182">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w:t>
      </w:r>
      <w:r>
        <w:rPr>
          <w:rFonts w:hint="eastAsia" w:ascii="宋体" w:hAnsi="宋体" w:cs="宋体"/>
          <w:color w:val="auto"/>
          <w:highlight w:val="none"/>
          <w:lang w:val="en-US" w:eastAsia="zh-CN"/>
        </w:rPr>
        <w:t xml:space="preserve"> </w:t>
      </w:r>
      <w:r>
        <w:rPr>
          <w:rFonts w:hint="eastAsia" w:ascii="宋体" w:hAnsi="宋体" w:cs="宋体"/>
          <w:color w:val="auto"/>
          <w:highlight w:val="none"/>
        </w:rPr>
        <w:t>有下列情况之一的，参选保证金不予退还：</w:t>
      </w:r>
    </w:p>
    <w:p w14:paraId="0704DACA">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rPr>
        <w:t>（1）提供虚假材料谋取中选的；</w:t>
      </w:r>
    </w:p>
    <w:p w14:paraId="08273692">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rPr>
        <w:t>（2）参选截止后参选人撤销参选文件，或参选人在遴选文件规定的参选有效期内撤销其参选的；</w:t>
      </w:r>
    </w:p>
    <w:p w14:paraId="66A264E3">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rPr>
        <w:t>（3）中选人无正当理由放弃中选资格的；</w:t>
      </w:r>
    </w:p>
    <w:p w14:paraId="008C0953">
      <w:pPr>
        <w:keepNext w:val="0"/>
        <w:keepLines w:val="0"/>
        <w:pageBreakBefore w:val="0"/>
        <w:widowControl/>
        <w:kinsoku/>
        <w:wordWrap/>
        <w:overflowPunct/>
        <w:topLinePunct w:val="0"/>
        <w:autoSpaceDE/>
        <w:autoSpaceDN/>
        <w:bidi w:val="0"/>
        <w:adjustRightInd/>
        <w:snapToGrid/>
        <w:spacing w:line="360" w:lineRule="auto"/>
        <w:ind w:firstLine="472" w:firstLineChars="225"/>
        <w:textAlignment w:val="auto"/>
        <w:rPr>
          <w:rFonts w:ascii="宋体" w:hAnsi="宋体" w:cs="宋体"/>
          <w:color w:val="auto"/>
          <w:highlight w:val="none"/>
        </w:rPr>
      </w:pPr>
      <w:r>
        <w:rPr>
          <w:rFonts w:hint="eastAsia" w:ascii="宋体" w:hAnsi="宋体" w:cs="宋体"/>
          <w:color w:val="auto"/>
          <w:highlight w:val="none"/>
        </w:rPr>
        <w:t>（4）中选人无正当理由不与采购人订立合同，或在签订合同时向采购人提出附加条件的，或不按照遴选文件要求提交履约保证金的，取消其中选资格，参选保证金不予退还。</w:t>
      </w:r>
    </w:p>
    <w:p w14:paraId="444C699A">
      <w:pPr>
        <w:numPr>
          <w:ilvl w:val="1"/>
          <w:numId w:val="1"/>
        </w:numPr>
        <w:spacing w:line="360" w:lineRule="auto"/>
        <w:ind w:left="1134" w:hanging="709"/>
        <w:rPr>
          <w:rFonts w:ascii="宋体" w:hAnsi="宋体" w:cs="宋体"/>
          <w:b/>
          <w:bCs/>
          <w:color w:val="auto"/>
          <w:highlight w:val="none"/>
        </w:rPr>
      </w:pPr>
      <w:bookmarkStart w:id="834" w:name="_Toc511916178"/>
      <w:bookmarkStart w:id="835" w:name="_Toc508036143"/>
      <w:bookmarkStart w:id="836" w:name="_Toc508619481"/>
      <w:bookmarkStart w:id="837" w:name="_Toc513112224"/>
      <w:bookmarkStart w:id="838" w:name="_Toc528659958"/>
      <w:bookmarkStart w:id="839" w:name="_Toc12302"/>
      <w:bookmarkStart w:id="840" w:name="_Toc535854402"/>
      <w:bookmarkStart w:id="841" w:name="_Toc513631008"/>
      <w:bookmarkStart w:id="842" w:name="_Toc22930"/>
      <w:bookmarkStart w:id="843" w:name="_Toc535418379"/>
      <w:bookmarkStart w:id="844" w:name="_Toc18238"/>
      <w:bookmarkStart w:id="845" w:name="_Toc475456402"/>
      <w:bookmarkStart w:id="846" w:name="_Toc475463103"/>
      <w:bookmarkStart w:id="847" w:name="_Toc475462265"/>
      <w:bookmarkStart w:id="848" w:name="_Toc500260920"/>
      <w:bookmarkStart w:id="849" w:name="_Toc478741229"/>
      <w:r>
        <w:rPr>
          <w:rFonts w:hint="eastAsia" w:ascii="宋体" w:hAnsi="宋体" w:cs="宋体"/>
          <w:b/>
          <w:bCs/>
          <w:color w:val="auto"/>
          <w:highlight w:val="none"/>
        </w:rPr>
        <w:t>参选样品</w:t>
      </w:r>
      <w:bookmarkEnd w:id="834"/>
      <w:bookmarkEnd w:id="835"/>
      <w:bookmarkEnd w:id="836"/>
      <w:r>
        <w:rPr>
          <w:rFonts w:hint="eastAsia" w:ascii="宋体" w:hAnsi="宋体" w:cs="宋体"/>
          <w:b/>
          <w:bCs/>
          <w:color w:val="auto"/>
          <w:highlight w:val="none"/>
        </w:rPr>
        <w:t>（如有）</w:t>
      </w:r>
      <w:bookmarkEnd w:id="837"/>
      <w:bookmarkEnd w:id="838"/>
      <w:bookmarkEnd w:id="839"/>
      <w:bookmarkEnd w:id="840"/>
      <w:bookmarkEnd w:id="841"/>
      <w:bookmarkEnd w:id="842"/>
      <w:bookmarkEnd w:id="843"/>
      <w:bookmarkEnd w:id="844"/>
    </w:p>
    <w:p w14:paraId="2D37FAED">
      <w:pPr>
        <w:numPr>
          <w:ilvl w:val="2"/>
          <w:numId w:val="3"/>
        </w:numPr>
        <w:spacing w:line="360" w:lineRule="auto"/>
        <w:ind w:left="0" w:firstLine="540"/>
        <w:rPr>
          <w:rFonts w:ascii="宋体" w:hAnsi="宋体" w:cs="宋体"/>
          <w:color w:val="auto"/>
          <w:highlight w:val="none"/>
        </w:rPr>
      </w:pPr>
      <w:bookmarkStart w:id="850" w:name="_Toc503962225"/>
      <w:bookmarkStart w:id="851" w:name="_Toc508036144"/>
      <w:bookmarkStart w:id="852" w:name="_Toc530581168"/>
      <w:bookmarkStart w:id="853" w:name="_Toc19940"/>
      <w:bookmarkStart w:id="854" w:name="_Toc513134329"/>
      <w:bookmarkStart w:id="855" w:name="_Toc527625298"/>
      <w:bookmarkStart w:id="856" w:name="_Toc535854403"/>
      <w:bookmarkStart w:id="857" w:name="_Toc526798344"/>
      <w:bookmarkStart w:id="858" w:name="_Toc11063"/>
      <w:bookmarkStart w:id="859" w:name="_Toc20297"/>
      <w:bookmarkStart w:id="860" w:name="_Toc503962568"/>
      <w:bookmarkStart w:id="861" w:name="_Toc508619482"/>
      <w:bookmarkStart w:id="862" w:name="_Toc519616343"/>
      <w:bookmarkStart w:id="863" w:name="_Toc21565"/>
      <w:r>
        <w:rPr>
          <w:rFonts w:hint="eastAsia" w:ascii="宋体" w:hAnsi="宋体" w:cs="宋体"/>
          <w:iCs/>
          <w:color w:val="auto"/>
          <w:kern w:val="2"/>
          <w:highlight w:val="none"/>
          <w:lang w:val="en-US" w:eastAsia="zh-CN" w:bidi="ar"/>
        </w:rPr>
        <w:t>参选截止日当天，参选截止时间前半小时，</w:t>
      </w:r>
      <w:r>
        <w:rPr>
          <w:rFonts w:hint="eastAsia" w:ascii="宋体" w:hAnsi="宋体" w:cs="宋体"/>
          <w:iCs/>
          <w:color w:val="auto"/>
          <w:kern w:val="2"/>
          <w:highlight w:val="none"/>
          <w:lang w:bidi="ar"/>
        </w:rPr>
        <w:t>参选</w:t>
      </w:r>
      <w:r>
        <w:rPr>
          <w:rFonts w:hint="eastAsia" w:ascii="宋体" w:hAnsi="宋体" w:cs="宋体"/>
          <w:iCs/>
          <w:color w:val="auto"/>
          <w:kern w:val="2"/>
          <w:highlight w:val="none"/>
          <w:lang w:eastAsia="zh-CN" w:bidi="ar"/>
        </w:rPr>
        <w:t>人</w:t>
      </w:r>
      <w:r>
        <w:rPr>
          <w:rFonts w:hint="eastAsia" w:ascii="宋体" w:hAnsi="宋体" w:cs="宋体"/>
          <w:iCs/>
          <w:color w:val="auto"/>
          <w:kern w:val="2"/>
          <w:highlight w:val="none"/>
          <w:lang w:bidi="ar"/>
        </w:rPr>
        <w:t>应将封装的样品送达</w:t>
      </w:r>
      <w:r>
        <w:rPr>
          <w:rFonts w:hint="eastAsia" w:ascii="宋体" w:hAnsi="宋体" w:cs="宋体"/>
          <w:iCs/>
          <w:color w:val="auto"/>
          <w:kern w:val="2"/>
          <w:highlight w:val="none"/>
          <w:lang w:val="en-US" w:eastAsia="zh-CN" w:bidi="ar"/>
        </w:rPr>
        <w:t>广州中经招标有限公司</w:t>
      </w:r>
      <w:r>
        <w:rPr>
          <w:rFonts w:hint="eastAsia" w:ascii="宋体" w:hAnsi="宋体" w:cs="宋体"/>
          <w:iCs/>
          <w:color w:val="auto"/>
          <w:kern w:val="2"/>
          <w:highlight w:val="none"/>
          <w:lang w:eastAsia="zh-CN" w:bidi="ar"/>
        </w:rPr>
        <w:t>。</w:t>
      </w:r>
    </w:p>
    <w:p w14:paraId="4F41C794">
      <w:pPr>
        <w:numPr>
          <w:ilvl w:val="2"/>
          <w:numId w:val="3"/>
        </w:numPr>
        <w:spacing w:line="360" w:lineRule="auto"/>
        <w:ind w:left="0" w:firstLine="540"/>
        <w:rPr>
          <w:rFonts w:ascii="宋体" w:hAnsi="宋体" w:cs="宋体"/>
          <w:color w:val="auto"/>
          <w:highlight w:val="none"/>
        </w:rPr>
      </w:pPr>
      <w:r>
        <w:rPr>
          <w:rFonts w:hint="eastAsia" w:ascii="宋体" w:hAnsi="宋体" w:cs="宋体"/>
          <w:color w:val="auto"/>
          <w:highlight w:val="none"/>
        </w:rPr>
        <w:t>本项目如要求提交参选样品的，采购代理机构或采购人在收取样品时不对样品外观进行验收及性能测试，对样品的破损或质量概不负责。</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6F254115">
      <w:pPr>
        <w:numPr>
          <w:ilvl w:val="2"/>
          <w:numId w:val="3"/>
        </w:numPr>
        <w:spacing w:line="360" w:lineRule="auto"/>
        <w:ind w:left="0" w:firstLine="540"/>
        <w:rPr>
          <w:rFonts w:ascii="宋体" w:hAnsi="宋体" w:cs="宋体"/>
          <w:color w:val="auto"/>
          <w:highlight w:val="none"/>
        </w:rPr>
      </w:pPr>
      <w:bookmarkStart w:id="864" w:name="_Toc21752"/>
      <w:bookmarkStart w:id="865" w:name="_Toc23097"/>
      <w:bookmarkStart w:id="866" w:name="_Toc530581169"/>
      <w:bookmarkStart w:id="867" w:name="_Toc503962569"/>
      <w:bookmarkStart w:id="868" w:name="_Toc503962226"/>
      <w:bookmarkStart w:id="869" w:name="_Toc27859"/>
      <w:bookmarkStart w:id="870" w:name="_Toc526798345"/>
      <w:bookmarkStart w:id="871" w:name="_Toc513134330"/>
      <w:bookmarkStart w:id="872" w:name="_Toc508036145"/>
      <w:bookmarkStart w:id="873" w:name="_Toc519616344"/>
      <w:bookmarkStart w:id="874" w:name="_Toc90"/>
      <w:bookmarkStart w:id="875" w:name="_Toc508619483"/>
      <w:bookmarkStart w:id="876" w:name="_Toc527625299"/>
      <w:bookmarkStart w:id="877" w:name="_Toc535854404"/>
      <w:r>
        <w:rPr>
          <w:rFonts w:hint="eastAsia" w:ascii="宋体" w:hAnsi="宋体" w:cs="宋体"/>
          <w:color w:val="auto"/>
          <w:highlight w:val="none"/>
        </w:rPr>
        <w:t>由于采购代理机构存放样品的空间有限，采购活动结束后，未中选人提供的样品，应当在</w:t>
      </w:r>
      <w:r>
        <w:rPr>
          <w:rFonts w:hint="eastAsia" w:ascii="宋体" w:hAnsi="宋体" w:cs="宋体"/>
          <w:color w:val="auto"/>
          <w:highlight w:val="none"/>
          <w:u w:val="single"/>
        </w:rPr>
        <w:t>中选公告发布之日起5个工作日内</w:t>
      </w:r>
      <w:r>
        <w:rPr>
          <w:rFonts w:hint="eastAsia" w:ascii="宋体" w:hAnsi="宋体" w:cs="宋体"/>
          <w:color w:val="auto"/>
          <w:highlight w:val="none"/>
        </w:rPr>
        <w:t>自行取回，否则视为参选人自动遗弃，采购代理机构有权处理。</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55ED24E1">
      <w:pPr>
        <w:numPr>
          <w:ilvl w:val="2"/>
          <w:numId w:val="3"/>
        </w:numPr>
        <w:spacing w:line="360" w:lineRule="auto"/>
        <w:ind w:left="0" w:firstLine="540"/>
        <w:rPr>
          <w:rFonts w:ascii="宋体" w:hAnsi="宋体" w:cs="宋体"/>
          <w:color w:val="auto"/>
          <w:highlight w:val="none"/>
        </w:rPr>
      </w:pPr>
      <w:bookmarkStart w:id="878" w:name="_Toc508619484"/>
      <w:bookmarkStart w:id="879" w:name="_Toc535854405"/>
      <w:bookmarkStart w:id="880" w:name="_Toc513134331"/>
      <w:bookmarkStart w:id="881" w:name="_Toc530581170"/>
      <w:bookmarkStart w:id="882" w:name="_Toc696"/>
      <w:bookmarkStart w:id="883" w:name="_Toc527625300"/>
      <w:bookmarkStart w:id="884" w:name="_Toc5196"/>
      <w:bookmarkStart w:id="885" w:name="_Toc4244"/>
      <w:bookmarkStart w:id="886" w:name="_Toc9398"/>
      <w:bookmarkStart w:id="887" w:name="_Toc503962227"/>
      <w:bookmarkStart w:id="888" w:name="_Toc526798346"/>
      <w:bookmarkStart w:id="889" w:name="_Toc519616345"/>
      <w:bookmarkStart w:id="890" w:name="_Toc503962570"/>
      <w:bookmarkStart w:id="891" w:name="_Toc508036146"/>
      <w:r>
        <w:rPr>
          <w:rFonts w:hint="eastAsia" w:ascii="宋体" w:hAnsi="宋体" w:cs="宋体"/>
          <w:color w:val="auto"/>
          <w:highlight w:val="none"/>
        </w:rPr>
        <w:t>中选人提供的样品，由采购人进行保管、封存，并作为履约验收的证据。</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C678EBE">
      <w:pPr>
        <w:numPr>
          <w:ilvl w:val="1"/>
          <w:numId w:val="1"/>
        </w:numPr>
        <w:spacing w:line="360" w:lineRule="auto"/>
        <w:ind w:left="1134" w:hanging="709"/>
        <w:rPr>
          <w:rFonts w:ascii="宋体" w:hAnsi="宋体" w:cs="宋体"/>
          <w:b/>
          <w:bCs/>
          <w:color w:val="auto"/>
          <w:highlight w:val="none"/>
        </w:rPr>
      </w:pPr>
      <w:bookmarkStart w:id="892" w:name="_Toc535854406"/>
      <w:bookmarkStart w:id="893" w:name="_Toc535418383"/>
      <w:bookmarkStart w:id="894" w:name="_Toc528659962"/>
      <w:bookmarkStart w:id="895" w:name="_Toc511916182"/>
      <w:bookmarkStart w:id="896" w:name="_Toc1278"/>
      <w:bookmarkStart w:id="897" w:name="_Toc18732"/>
      <w:bookmarkStart w:id="898" w:name="_Toc508036147"/>
      <w:bookmarkStart w:id="899" w:name="_Toc513112228"/>
      <w:bookmarkStart w:id="900" w:name="_Toc9197"/>
      <w:bookmarkStart w:id="901" w:name="_Toc508619485"/>
      <w:bookmarkStart w:id="902" w:name="_Toc513631012"/>
      <w:r>
        <w:rPr>
          <w:rFonts w:hint="eastAsia" w:ascii="宋体" w:hAnsi="宋体" w:cs="宋体"/>
          <w:b/>
          <w:bCs/>
          <w:color w:val="auto"/>
          <w:highlight w:val="none"/>
          <w:lang w:val="en-US" w:eastAsia="zh-CN"/>
        </w:rPr>
        <w:t>现场踏勘（本项目不适用）</w:t>
      </w:r>
    </w:p>
    <w:p w14:paraId="6AFFB1AF">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集合时间：202</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年   月   日   午   :00</w:t>
      </w:r>
    </w:p>
    <w:p w14:paraId="2DE2631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集合地点：</w:t>
      </w:r>
    </w:p>
    <w:p w14:paraId="2CEB5B2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联系人：</w:t>
      </w:r>
    </w:p>
    <w:p w14:paraId="5C081D4B">
      <w:pPr>
        <w:numPr>
          <w:ilvl w:val="0"/>
          <w:numId w:val="0"/>
        </w:numPr>
        <w:spacing w:line="360" w:lineRule="auto"/>
        <w:ind w:left="425" w:leftChars="0"/>
        <w:rPr>
          <w:rFonts w:hint="eastAsia" w:ascii="宋体" w:hAnsi="宋体" w:eastAsia="宋体" w:cs="宋体"/>
          <w:b/>
          <w:bCs/>
          <w:color w:val="auto"/>
          <w:highlight w:val="none"/>
        </w:rPr>
      </w:pPr>
      <w:r>
        <w:rPr>
          <w:rFonts w:hint="eastAsia" w:ascii="宋体" w:hAnsi="宋体" w:eastAsia="宋体" w:cs="宋体"/>
          <w:color w:val="auto"/>
          <w:highlight w:val="none"/>
        </w:rPr>
        <w:t>联系电话：届时请各参选人可安排不超过2人出席，并须携带本人身份证原件、复印件（加盖公章）及加盖公章的介绍信（证明函）。</w:t>
      </w:r>
    </w:p>
    <w:p w14:paraId="1BF1F093">
      <w:pPr>
        <w:numPr>
          <w:ilvl w:val="1"/>
          <w:numId w:val="1"/>
        </w:numPr>
        <w:spacing w:line="360" w:lineRule="auto"/>
        <w:ind w:left="1134" w:hanging="709"/>
        <w:rPr>
          <w:rFonts w:ascii="宋体" w:hAnsi="宋体" w:cs="宋体"/>
          <w:b/>
          <w:bCs/>
          <w:color w:val="auto"/>
          <w:highlight w:val="none"/>
        </w:rPr>
      </w:pPr>
      <w:r>
        <w:rPr>
          <w:rFonts w:hint="eastAsia" w:ascii="宋体" w:hAnsi="宋体" w:cs="宋体"/>
          <w:b/>
          <w:bCs/>
          <w:color w:val="auto"/>
          <w:highlight w:val="none"/>
          <w:lang w:val="en-US" w:eastAsia="zh-CN"/>
        </w:rPr>
        <w:t>总体要求</w:t>
      </w:r>
    </w:p>
    <w:p w14:paraId="6AF63474">
      <w:pPr>
        <w:pStyle w:val="5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项目属性：</w:t>
      </w:r>
      <w:r>
        <w:rPr>
          <w:rFonts w:hint="eastAsia" w:ascii="宋体" w:hAnsi="宋体" w:cs="宋体"/>
          <w:color w:val="auto"/>
          <w:szCs w:val="21"/>
          <w:highlight w:val="none"/>
          <w:lang w:val="en-US" w:eastAsia="zh-CN" w:bidi="ar"/>
        </w:rPr>
        <w:t>服务类</w:t>
      </w:r>
      <w:r>
        <w:rPr>
          <w:rFonts w:hint="eastAsia" w:ascii="宋体" w:hAnsi="宋体" w:cs="宋体"/>
          <w:color w:val="auto"/>
          <w:szCs w:val="21"/>
          <w:highlight w:val="none"/>
          <w:lang w:bidi="ar"/>
        </w:rPr>
        <w:t>。</w:t>
      </w:r>
    </w:p>
    <w:p w14:paraId="5AC0ED3A">
      <w:pPr>
        <w:pStyle w:val="5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2.</w:t>
      </w:r>
      <w:r>
        <w:rPr>
          <w:rFonts w:hint="eastAsia" w:ascii="宋体" w:hAnsi="宋体" w:cs="宋体"/>
          <w:color w:val="auto"/>
          <w:szCs w:val="21"/>
          <w:highlight w:val="none"/>
          <w:lang w:bidi="ar"/>
        </w:rPr>
        <w:t>参选人须对本项目以采购包为单位的货物（服务）进行整体参选，任何只对采购包内其中一部分内容进行的参选都被视为无效参选。</w:t>
      </w:r>
    </w:p>
    <w:p w14:paraId="0C95E331">
      <w:pPr>
        <w:pStyle w:val="5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3.</w:t>
      </w:r>
      <w:r>
        <w:rPr>
          <w:rFonts w:hint="eastAsia" w:ascii="宋体" w:hAnsi="宋体" w:cs="宋体"/>
          <w:color w:val="auto"/>
          <w:szCs w:val="21"/>
          <w:highlight w:val="none"/>
          <w:lang w:bidi="ar"/>
        </w:rPr>
        <w:t>参选人可选择个别采购包或全部采购包进行参选，但必须对采购包内所有内容进行参选，不允许只对采购包内其中部分内容进行参选。</w:t>
      </w:r>
    </w:p>
    <w:p w14:paraId="44C3AE35">
      <w:pPr>
        <w:pStyle w:val="5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4.</w:t>
      </w:r>
      <w:r>
        <w:rPr>
          <w:rFonts w:hint="eastAsia" w:ascii="宋体" w:hAnsi="宋体" w:cs="宋体"/>
          <w:color w:val="auto"/>
          <w:szCs w:val="21"/>
          <w:highlight w:val="none"/>
          <w:lang w:bidi="ar"/>
        </w:rPr>
        <w:t>报价：参选人对任何一项应当考虑在参选报价中的内容有漏报的单价，或每项参选单价中有漏报、少报的费用，均视为此项费用已包含在参选报价中；如中选，则不得再向采购人收取任何费用。所有价格均应以人民币报价，金额单位为元。</w:t>
      </w:r>
    </w:p>
    <w:p w14:paraId="5601FA7C">
      <w:pPr>
        <w:pStyle w:val="5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打“★”号条款为实质性条款，若有任何一条负偏离或不满足则导致参选（响应）无效。</w:t>
      </w:r>
    </w:p>
    <w:p w14:paraId="4722F7E3">
      <w:pPr>
        <w:keepNext w:val="0"/>
        <w:keepLines w:val="0"/>
        <w:pageBreakBefore w:val="0"/>
        <w:numPr>
          <w:ilvl w:val="0"/>
          <w:numId w:val="0"/>
        </w:numPr>
        <w:kinsoku/>
        <w:wordWrap/>
        <w:overflowPunct/>
        <w:topLinePunct w:val="0"/>
        <w:autoSpaceDE/>
        <w:autoSpaceDN/>
        <w:bidi w:val="0"/>
        <w:adjustRightInd/>
        <w:snapToGrid/>
        <w:spacing w:line="360" w:lineRule="auto"/>
        <w:ind w:left="425" w:leftChars="0"/>
        <w:textAlignment w:val="auto"/>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6.</w:t>
      </w:r>
      <w:r>
        <w:rPr>
          <w:rFonts w:hint="eastAsia" w:ascii="宋体" w:hAnsi="宋体" w:cs="宋体"/>
          <w:color w:val="auto"/>
          <w:szCs w:val="21"/>
          <w:highlight w:val="none"/>
          <w:lang w:bidi="ar"/>
        </w:rPr>
        <w:t>打“▲”号条款为重要参数（如有），若有部分“▲”条款未响应或不满足，将导致其响应性评审加重扣分，但不作为无效参选（响应）条款。</w:t>
      </w:r>
    </w:p>
    <w:p w14:paraId="3E414FAF">
      <w:pPr>
        <w:keepNext w:val="0"/>
        <w:keepLines w:val="0"/>
        <w:pageBreakBefore w:val="0"/>
        <w:widowControl/>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7.采购异常低价审查：</w:t>
      </w:r>
    </w:p>
    <w:p w14:paraId="351137E5">
      <w:pPr>
        <w:keepNext w:val="0"/>
        <w:keepLines w:val="0"/>
        <w:pageBreakBefore w:val="0"/>
        <w:widowControl/>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 xml:space="preserve">7.1 </w:t>
      </w:r>
      <w:r>
        <w:rPr>
          <w:rFonts w:hint="eastAsia" w:ascii="宋体" w:hAnsi="宋体" w:eastAsia="宋体" w:cs="宋体"/>
          <w:color w:val="auto"/>
          <w:sz w:val="21"/>
          <w:szCs w:val="21"/>
          <w:highlight w:val="none"/>
          <w:lang w:val="zh-CN" w:eastAsia="zh-CN"/>
        </w:rPr>
        <w:t xml:space="preserve">采购评审中出现下列情形之一的，评审委员会将启动异常低价投标（响应）审查程序： </w:t>
      </w:r>
    </w:p>
    <w:p w14:paraId="1B6FE987">
      <w:pPr>
        <w:keepNext w:val="0"/>
        <w:keepLines w:val="0"/>
        <w:pageBreakBefore w:val="0"/>
        <w:widowControl/>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 xml:space="preserve">（1）参选（响应）报价低于全部通过符合性审查供应商参选（响应）报价平均值50%的，即参选（响应）报价＜全部通过符合性审查供应商参选（响应）报价平均值×50%； </w:t>
      </w:r>
    </w:p>
    <w:p w14:paraId="1BE77613">
      <w:pPr>
        <w:keepNext w:val="0"/>
        <w:keepLines w:val="0"/>
        <w:pageBreakBefore w:val="0"/>
        <w:widowControl/>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 xml:space="preserve">（2）参选（响应）报价低于通过符合性审查的次低报价供应商参选（响应）报价50%的，即参选（响应）报价＜通过符合性审查的次低报价供应商参选（响应）报价×50%； </w:t>
      </w:r>
    </w:p>
    <w:p w14:paraId="1B2804EC">
      <w:pPr>
        <w:keepNext w:val="0"/>
        <w:keepLines w:val="0"/>
        <w:pageBreakBefore w:val="0"/>
        <w:widowControl/>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 xml:space="preserve">（3）参选（响应）报价低于采购项目最高限价45%的，即参选（响应）报价＜采购项目最高限价×45%； </w:t>
      </w:r>
    </w:p>
    <w:p w14:paraId="79CF92EA">
      <w:pPr>
        <w:keepNext w:val="0"/>
        <w:keepLines w:val="0"/>
        <w:pageBreakBefore w:val="0"/>
        <w:widowControl/>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 xml:space="preserve">（4）评审委员会基于专业判断，认为供应商报价过低，有可能影响产品质量或者不能诚信履约的其他情形。 </w:t>
      </w:r>
    </w:p>
    <w:p w14:paraId="181D5A52">
      <w:pPr>
        <w:keepNext w:val="0"/>
        <w:keepLines w:val="0"/>
        <w:pageBreakBefore w:val="0"/>
        <w:widowControl/>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color w:val="auto"/>
          <w:sz w:val="21"/>
          <w:szCs w:val="21"/>
          <w:highlight w:val="none"/>
          <w:lang w:val="zh-CN" w:eastAsia="zh-CN"/>
        </w:rPr>
      </w:pPr>
      <w:r>
        <w:rPr>
          <w:rFonts w:hint="eastAsia" w:ascii="宋体" w:hAnsi="宋体" w:cs="宋体"/>
          <w:color w:val="auto"/>
          <w:sz w:val="21"/>
          <w:szCs w:val="21"/>
          <w:highlight w:val="none"/>
          <w:lang w:val="en-US" w:eastAsia="zh-CN"/>
        </w:rPr>
        <w:t>7.2</w:t>
      </w:r>
      <w:r>
        <w:rPr>
          <w:rFonts w:hint="eastAsia" w:ascii="宋体" w:hAnsi="宋体" w:eastAsia="宋体" w:cs="宋体"/>
          <w:color w:val="auto"/>
          <w:sz w:val="21"/>
          <w:szCs w:val="21"/>
          <w:highlight w:val="none"/>
          <w:lang w:val="zh-CN" w:eastAsia="zh-CN"/>
        </w:rPr>
        <w:t>评审委员会启动异常低价参选（响应）审查后，属于前述第1项至第4项情形的，将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参选（响应）文件一并提交相关书面说明及必要的证明材料的，在评审现场可不再重复提交。</w:t>
      </w:r>
    </w:p>
    <w:p w14:paraId="64F125D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ascii="宋体" w:hAnsi="宋体" w:cs="宋体"/>
          <w:color w:val="auto"/>
          <w:szCs w:val="21"/>
          <w:highlight w:val="none"/>
          <w:lang w:val="en-US" w:eastAsia="zh-CN" w:bidi="ar"/>
        </w:rPr>
      </w:pPr>
      <w:r>
        <w:rPr>
          <w:rFonts w:hint="eastAsia" w:ascii="宋体" w:hAnsi="宋体" w:cs="宋体"/>
          <w:color w:val="auto"/>
          <w:sz w:val="21"/>
          <w:szCs w:val="21"/>
          <w:highlight w:val="none"/>
          <w:lang w:val="en-US" w:eastAsia="zh-CN"/>
        </w:rPr>
        <w:t>7.3</w:t>
      </w:r>
      <w:r>
        <w:rPr>
          <w:rFonts w:hint="eastAsia" w:ascii="宋体" w:hAnsi="宋体" w:eastAsia="宋体" w:cs="宋体"/>
          <w:color w:val="auto"/>
          <w:sz w:val="21"/>
          <w:szCs w:val="21"/>
          <w:highlight w:val="none"/>
          <w:lang w:val="zh-CN" w:eastAsia="zh-CN"/>
        </w:rPr>
        <w:t>评审委员会依据专业经验，参考同类项目中标（成交）价格、类似产品市场价格水平、行业人工费用标准、国家有关部门指导行业协会发布的行业平均成本等情况，对报价合理性进行判断。参选（响应）供应商不能提供书面说明、证明材料，或者提供的书面说明、证明材料不能证明其报价合理性的，评审委员会应当将其作为无效投标（响应）处理。</w:t>
      </w:r>
    </w:p>
    <w:p w14:paraId="4681AC2B">
      <w:pPr>
        <w:numPr>
          <w:ilvl w:val="1"/>
          <w:numId w:val="1"/>
        </w:numPr>
        <w:spacing w:line="360" w:lineRule="auto"/>
        <w:ind w:left="1134" w:hanging="709"/>
        <w:rPr>
          <w:rFonts w:ascii="宋体" w:hAnsi="宋体" w:cs="宋体"/>
          <w:b/>
          <w:bCs/>
          <w:color w:val="auto"/>
          <w:highlight w:val="none"/>
        </w:rPr>
      </w:pPr>
      <w:r>
        <w:rPr>
          <w:rFonts w:hint="eastAsia" w:ascii="宋体" w:hAnsi="宋体" w:cs="宋体"/>
          <w:b/>
          <w:bCs/>
          <w:color w:val="auto"/>
          <w:highlight w:val="none"/>
        </w:rPr>
        <w:t>遴选文件的解释权</w:t>
      </w:r>
      <w:bookmarkEnd w:id="845"/>
      <w:bookmarkEnd w:id="846"/>
      <w:bookmarkEnd w:id="847"/>
      <w:bookmarkEnd w:id="848"/>
      <w:bookmarkEnd w:id="849"/>
      <w:bookmarkEnd w:id="892"/>
      <w:bookmarkEnd w:id="893"/>
      <w:bookmarkEnd w:id="894"/>
      <w:bookmarkEnd w:id="895"/>
      <w:bookmarkEnd w:id="896"/>
      <w:bookmarkEnd w:id="897"/>
      <w:bookmarkEnd w:id="898"/>
      <w:bookmarkEnd w:id="899"/>
      <w:bookmarkEnd w:id="900"/>
      <w:bookmarkEnd w:id="901"/>
      <w:bookmarkEnd w:id="902"/>
    </w:p>
    <w:p w14:paraId="40AB014C">
      <w:pPr>
        <w:spacing w:line="360" w:lineRule="auto"/>
        <w:ind w:firstLine="472" w:firstLineChars="225"/>
        <w:rPr>
          <w:rFonts w:ascii="宋体" w:hAnsi="宋体" w:cs="宋体"/>
          <w:color w:val="auto"/>
          <w:highlight w:val="none"/>
        </w:rPr>
      </w:pPr>
      <w:bookmarkStart w:id="903" w:name="_Toc508036148"/>
      <w:bookmarkStart w:id="904" w:name="_Toc475463104"/>
      <w:bookmarkStart w:id="905" w:name="_Toc511916183"/>
      <w:bookmarkStart w:id="906" w:name="_Toc508619486"/>
      <w:bookmarkStart w:id="907" w:name="_Toc535418384"/>
      <w:bookmarkStart w:id="908" w:name="_Toc11595"/>
      <w:bookmarkStart w:id="909" w:name="_Toc513112229"/>
      <w:bookmarkStart w:id="910" w:name="_Toc500260921"/>
      <w:bookmarkStart w:id="911" w:name="_Toc475462266"/>
      <w:bookmarkStart w:id="912" w:name="_Toc27574"/>
      <w:bookmarkStart w:id="913" w:name="_Toc535854407"/>
      <w:bookmarkStart w:id="914" w:name="_Toc513631013"/>
      <w:bookmarkStart w:id="915" w:name="_Toc24578"/>
      <w:bookmarkStart w:id="916" w:name="_Toc478741230"/>
      <w:bookmarkStart w:id="917" w:name="_Toc475456403"/>
      <w:bookmarkStart w:id="918" w:name="_Toc528659963"/>
      <w:r>
        <w:rPr>
          <w:rFonts w:hint="eastAsia" w:ascii="宋体" w:hAnsi="宋体" w:cs="宋体"/>
          <w:color w:val="auto"/>
          <w:highlight w:val="none"/>
        </w:rPr>
        <w:t>本遴选文件由</w:t>
      </w:r>
      <w:r>
        <w:rPr>
          <w:rFonts w:hint="eastAsia" w:ascii="宋体" w:hAnsi="宋体" w:cs="宋体"/>
          <w:color w:val="auto"/>
          <w:highlight w:val="none"/>
          <w:lang w:eastAsia="zh-CN"/>
        </w:rPr>
        <w:t>广州中经招标有限公司</w:t>
      </w:r>
      <w:r>
        <w:rPr>
          <w:rFonts w:hint="eastAsia" w:ascii="宋体" w:hAnsi="宋体" w:cs="宋体"/>
          <w:color w:val="auto"/>
          <w:highlight w:val="none"/>
        </w:rPr>
        <w:t>公司负责解释。</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3B24B37A">
      <w:pPr>
        <w:spacing w:line="360" w:lineRule="auto"/>
        <w:ind w:firstLine="472" w:firstLineChars="225"/>
        <w:rPr>
          <w:rFonts w:ascii="宋体" w:hAnsi="宋体" w:cs="宋体"/>
          <w:color w:val="auto"/>
          <w:highlight w:val="none"/>
        </w:rPr>
      </w:pPr>
    </w:p>
    <w:p w14:paraId="70301574">
      <w:pPr>
        <w:keepNext w:val="0"/>
        <w:keepLines w:val="0"/>
        <w:widowControl w:val="0"/>
        <w:suppressLineNumbers w:val="0"/>
        <w:spacing w:before="0" w:beforeAutospacing="0" w:after="0" w:afterAutospacing="0" w:line="360" w:lineRule="auto"/>
        <w:ind w:left="0" w:right="0"/>
        <w:jc w:val="both"/>
        <w:outlineLvl w:val="1"/>
        <w:rPr>
          <w:rFonts w:hint="eastAsia" w:ascii="宋体" w:hAnsi="宋体" w:eastAsia="宋体" w:cs="宋体"/>
          <w:b/>
          <w:bCs/>
          <w:color w:val="auto"/>
          <w:highlight w:val="none"/>
          <w:lang w:val="en-US"/>
        </w:rPr>
      </w:pPr>
      <w:bookmarkStart w:id="919" w:name="_Toc37581421"/>
      <w:bookmarkStart w:id="920" w:name="_Toc46308684"/>
      <w:bookmarkStart w:id="921" w:name="_Toc37663392"/>
      <w:bookmarkStart w:id="922" w:name="_Toc37331039"/>
      <w:bookmarkStart w:id="923" w:name="_Toc37331081"/>
      <w:bookmarkStart w:id="924" w:name="_Toc46308528"/>
      <w:bookmarkStart w:id="925" w:name="_Toc40762371"/>
      <w:bookmarkStart w:id="926" w:name="_Toc37245277"/>
      <w:bookmarkStart w:id="927" w:name="_Toc37569520"/>
      <w:bookmarkStart w:id="928" w:name="_Toc3628"/>
      <w:bookmarkStart w:id="929" w:name="_Toc513112243"/>
      <w:bookmarkStart w:id="930" w:name="_Toc32221"/>
      <w:bookmarkStart w:id="931" w:name="_Toc377"/>
      <w:bookmarkStart w:id="932" w:name="_Toc20522"/>
      <w:bookmarkStart w:id="933" w:name="_Toc25743"/>
      <w:bookmarkStart w:id="934" w:name="_Toc535854414"/>
      <w:bookmarkStart w:id="935" w:name="_Toc508619495"/>
      <w:bookmarkStart w:id="936" w:name="_Toc513631028"/>
      <w:bookmarkStart w:id="937" w:name="_Toc528659970"/>
      <w:bookmarkStart w:id="938" w:name="_Toc500260928"/>
      <w:bookmarkStart w:id="939" w:name="_Toc511916193"/>
      <w:bookmarkStart w:id="940" w:name="_Toc4734"/>
      <w:bookmarkStart w:id="941" w:name="_Toc535418391"/>
      <w:bookmarkStart w:id="942" w:name="_Toc508036157"/>
      <w:bookmarkStart w:id="943" w:name="_Toc2841"/>
    </w:p>
    <w:p w14:paraId="09513C46">
      <w:pPr>
        <w:keepNext w:val="0"/>
        <w:keepLines w:val="0"/>
        <w:widowControl w:val="0"/>
        <w:suppressLineNumbers w:val="0"/>
        <w:spacing w:before="0" w:beforeAutospacing="0" w:after="0" w:afterAutospacing="0" w:line="360" w:lineRule="auto"/>
        <w:ind w:left="0" w:right="0"/>
        <w:jc w:val="both"/>
        <w:outlineLvl w:val="1"/>
        <w:rPr>
          <w:rFonts w:hint="eastAsia" w:ascii="宋体" w:hAnsi="宋体" w:eastAsia="宋体" w:cs="宋体"/>
          <w:color w:val="auto"/>
          <w:kern w:val="2"/>
          <w:sz w:val="40"/>
          <w:szCs w:val="40"/>
          <w:highlight w:val="none"/>
          <w:lang w:val="en-US" w:eastAsia="zh-CN" w:bidi="ar"/>
        </w:rPr>
      </w:pPr>
      <w:r>
        <w:rPr>
          <w:rFonts w:hint="eastAsia" w:ascii="宋体" w:hAnsi="宋体" w:eastAsia="宋体" w:cs="宋体"/>
          <w:b/>
          <w:bCs/>
          <w:color w:val="auto"/>
          <w:kern w:val="2"/>
          <w:sz w:val="21"/>
          <w:szCs w:val="24"/>
          <w:highlight w:val="none"/>
          <w:lang w:val="en-US" w:eastAsia="zh-CN" w:bidi="ar"/>
        </w:rPr>
        <w:t xml:space="preserve">                              </w:t>
      </w:r>
      <w:r>
        <w:rPr>
          <w:rFonts w:hint="eastAsia" w:ascii="宋体" w:hAnsi="宋体" w:eastAsia="宋体" w:cs="宋体"/>
          <w:color w:val="auto"/>
          <w:kern w:val="2"/>
          <w:sz w:val="40"/>
          <w:szCs w:val="40"/>
          <w:highlight w:val="none"/>
          <w:lang w:val="en-US" w:eastAsia="zh-CN" w:bidi="ar"/>
        </w:rPr>
        <w:t xml:space="preserve">  </w:t>
      </w:r>
      <w:bookmarkStart w:id="944" w:name="_Toc513112232"/>
      <w:bookmarkStart w:id="945" w:name="_Toc10647"/>
      <w:bookmarkStart w:id="946" w:name="_Toc528659966"/>
      <w:bookmarkStart w:id="947" w:name="_Toc511916186"/>
      <w:bookmarkStart w:id="948" w:name="_Toc508036151"/>
      <w:bookmarkStart w:id="949" w:name="_Toc31022"/>
      <w:bookmarkStart w:id="950" w:name="_Toc508619489"/>
      <w:bookmarkStart w:id="951" w:name="_Toc513631016"/>
      <w:bookmarkStart w:id="952" w:name="_Toc28167"/>
      <w:bookmarkStart w:id="953" w:name="_Toc5188"/>
      <w:bookmarkStart w:id="954" w:name="_Toc15542"/>
      <w:bookmarkStart w:id="955" w:name="_Toc535854410"/>
      <w:bookmarkStart w:id="956" w:name="_Toc29683"/>
      <w:bookmarkStart w:id="957" w:name="_Toc535418387"/>
      <w:bookmarkStart w:id="958" w:name="_Toc7401"/>
    </w:p>
    <w:p w14:paraId="558DF183">
      <w:pPr>
        <w:rPr>
          <w:rFonts w:hint="eastAsia" w:ascii="宋体" w:hAnsi="宋体" w:eastAsia="宋体" w:cs="宋体"/>
          <w:color w:val="auto"/>
          <w:kern w:val="2"/>
          <w:sz w:val="40"/>
          <w:szCs w:val="40"/>
          <w:highlight w:val="none"/>
          <w:lang w:val="en-US" w:eastAsia="zh-CN" w:bidi="ar"/>
        </w:rPr>
      </w:pPr>
      <w:r>
        <w:rPr>
          <w:rFonts w:hint="eastAsia" w:ascii="宋体" w:hAnsi="宋体" w:eastAsia="宋体" w:cs="宋体"/>
          <w:color w:val="auto"/>
          <w:kern w:val="2"/>
          <w:sz w:val="40"/>
          <w:szCs w:val="40"/>
          <w:highlight w:val="none"/>
          <w:lang w:val="en-US" w:eastAsia="zh-CN" w:bidi="ar"/>
        </w:rPr>
        <w:br w:type="page"/>
      </w:r>
    </w:p>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14:paraId="3249664D">
      <w:pPr>
        <w:widowControl w:val="0"/>
        <w:numPr>
          <w:ilvl w:val="0"/>
          <w:numId w:val="0"/>
        </w:numPr>
        <w:spacing w:line="360" w:lineRule="auto"/>
        <w:jc w:val="center"/>
        <w:outlineLvl w:val="1"/>
        <w:rPr>
          <w:rFonts w:hint="eastAsia"/>
          <w:b/>
          <w:bCs w:val="0"/>
          <w:color w:val="auto"/>
          <w:sz w:val="40"/>
          <w:szCs w:val="40"/>
          <w:highlight w:val="none"/>
        </w:rPr>
      </w:pPr>
      <w:bookmarkStart w:id="959" w:name="_Toc5239"/>
      <w:bookmarkStart w:id="960" w:name="_Toc31837"/>
      <w:bookmarkStart w:id="961" w:name="_Toc23888"/>
      <w:r>
        <w:rPr>
          <w:rFonts w:hint="eastAsia" w:ascii="宋体" w:hAnsi="宋体" w:cs="宋体"/>
          <w:b/>
          <w:bCs/>
          <w:color w:val="auto"/>
          <w:sz w:val="40"/>
          <w:szCs w:val="40"/>
          <w:highlight w:val="none"/>
          <w:lang w:val="en-US" w:eastAsia="zh-CN"/>
        </w:rPr>
        <w:t>第三章</w:t>
      </w:r>
      <w:r>
        <w:rPr>
          <w:rFonts w:hint="eastAsia"/>
          <w:b w:val="0"/>
          <w:bCs w:val="0"/>
          <w:color w:val="auto"/>
          <w:sz w:val="40"/>
          <w:szCs w:val="40"/>
          <w:highlight w:val="none"/>
        </w:rPr>
        <w:t xml:space="preserve"> </w:t>
      </w:r>
      <w:r>
        <w:rPr>
          <w:rFonts w:hint="eastAsia"/>
          <w:b/>
          <w:bCs w:val="0"/>
          <w:color w:val="auto"/>
          <w:sz w:val="40"/>
          <w:szCs w:val="40"/>
          <w:highlight w:val="none"/>
        </w:rPr>
        <w:t>采购需求</w:t>
      </w:r>
      <w:bookmarkEnd w:id="959"/>
      <w:bookmarkEnd w:id="960"/>
      <w:bookmarkEnd w:id="961"/>
    </w:p>
    <w:p w14:paraId="3EC63C2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default" w:ascii="宋体" w:hAnsi="宋体" w:cs="宋体"/>
          <w:b/>
          <w:bCs/>
          <w:color w:val="auto"/>
          <w:highlight w:val="none"/>
          <w:lang w:val="en-US" w:eastAsia="zh-CN"/>
        </w:rPr>
      </w:pPr>
    </w:p>
    <w:p w14:paraId="5BBC7E9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color w:val="auto"/>
          <w:sz w:val="21"/>
          <w:szCs w:val="21"/>
          <w:highlight w:val="none"/>
        </w:rPr>
      </w:pPr>
      <w:bookmarkStart w:id="962" w:name="_Toc12086"/>
      <w:bookmarkStart w:id="963" w:name="_Toc24087"/>
      <w:bookmarkStart w:id="964" w:name="_Toc21443"/>
      <w:r>
        <w:rPr>
          <w:rFonts w:hint="eastAsia" w:ascii="宋体" w:hAnsi="宋体" w:eastAsia="宋体" w:cs="宋体"/>
          <w:b/>
          <w:bCs/>
          <w:color w:val="auto"/>
          <w:sz w:val="21"/>
          <w:szCs w:val="21"/>
          <w:highlight w:val="none"/>
          <w:lang w:eastAsia="zh-CN"/>
        </w:rPr>
        <w:t>第一部分</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项目概况：</w:t>
      </w:r>
      <w:bookmarkEnd w:id="962"/>
      <w:bookmarkEnd w:id="963"/>
      <w:bookmarkEnd w:id="964"/>
    </w:p>
    <w:p w14:paraId="088140CD">
      <w:pPr>
        <w:pStyle w:val="1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eastAsia="zh-CN"/>
        </w:rPr>
        <w:t>一、概况</w:t>
      </w:r>
    </w:p>
    <w:p w14:paraId="05B2730C">
      <w:pPr>
        <w:pStyle w:val="1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1、项目内容</w:t>
      </w:r>
    </w:p>
    <w:tbl>
      <w:tblPr>
        <w:tblStyle w:val="2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9"/>
        <w:gridCol w:w="1653"/>
        <w:gridCol w:w="2822"/>
      </w:tblGrid>
      <w:tr w14:paraId="41CD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440" w:type="pct"/>
            <w:noWrap w:val="0"/>
            <w:vAlign w:val="center"/>
          </w:tcPr>
          <w:p w14:paraId="2CF42FBE">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采购内容</w:t>
            </w:r>
          </w:p>
        </w:tc>
        <w:tc>
          <w:tcPr>
            <w:tcW w:w="945" w:type="pct"/>
            <w:noWrap w:val="0"/>
            <w:vAlign w:val="center"/>
          </w:tcPr>
          <w:p w14:paraId="4EB47319">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数量、单位</w:t>
            </w:r>
          </w:p>
        </w:tc>
        <w:tc>
          <w:tcPr>
            <w:tcW w:w="1613" w:type="pct"/>
            <w:noWrap w:val="0"/>
            <w:vAlign w:val="center"/>
          </w:tcPr>
          <w:p w14:paraId="563A745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最高限价</w:t>
            </w:r>
          </w:p>
        </w:tc>
      </w:tr>
      <w:tr w14:paraId="3193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2440" w:type="pct"/>
            <w:noWrap w:val="0"/>
            <w:vAlign w:val="center"/>
          </w:tcPr>
          <w:p w14:paraId="643DA124">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增城院区生活垃圾清运服务</w:t>
            </w:r>
          </w:p>
        </w:tc>
        <w:tc>
          <w:tcPr>
            <w:tcW w:w="945" w:type="pct"/>
            <w:noWrap w:val="0"/>
            <w:vAlign w:val="center"/>
          </w:tcPr>
          <w:p w14:paraId="29CF588C">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1项</w:t>
            </w:r>
          </w:p>
        </w:tc>
        <w:tc>
          <w:tcPr>
            <w:tcW w:w="1613" w:type="pct"/>
            <w:noWrap w:val="0"/>
            <w:vAlign w:val="center"/>
          </w:tcPr>
          <w:p w14:paraId="3FDCF7D7">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人民币99万元</w:t>
            </w:r>
          </w:p>
        </w:tc>
      </w:tr>
    </w:tbl>
    <w:p w14:paraId="6C5D4944">
      <w:pPr>
        <w:pStyle w:val="1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2、服务地点：广州市增城区增城大道293号负一楼污区（生活垃圾房）</w:t>
      </w:r>
      <w:r>
        <w:rPr>
          <w:rFonts w:hint="eastAsia" w:ascii="宋体" w:hAnsi="宋体" w:eastAsia="宋体" w:cs="宋体"/>
          <w:color w:val="auto"/>
          <w:sz w:val="21"/>
          <w:szCs w:val="21"/>
          <w:highlight w:val="none"/>
          <w:lang w:eastAsia="zh-CN"/>
        </w:rPr>
        <w:t>。</w:t>
      </w:r>
    </w:p>
    <w:p w14:paraId="06FBE396">
      <w:pPr>
        <w:pStyle w:val="1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服务期限</w:t>
      </w:r>
      <w:r>
        <w:rPr>
          <w:rFonts w:hint="eastAsia" w:ascii="宋体" w:hAnsi="宋体" w:eastAsia="宋体" w:cs="宋体"/>
          <w:color w:val="auto"/>
          <w:sz w:val="21"/>
          <w:szCs w:val="21"/>
          <w:highlight w:val="none"/>
        </w:rPr>
        <w:t>：合同自双方签字盖章之日起生效，合同履行期限3年，具体履约起始时间根据合同约定处理</w:t>
      </w:r>
      <w:r>
        <w:rPr>
          <w:rFonts w:hint="eastAsia" w:ascii="宋体" w:hAnsi="宋体" w:eastAsia="宋体" w:cs="宋体"/>
          <w:color w:val="auto"/>
          <w:sz w:val="21"/>
          <w:szCs w:val="21"/>
          <w:highlight w:val="none"/>
          <w:lang w:val="en-US" w:eastAsia="zh-CN"/>
        </w:rPr>
        <w:t>。</w:t>
      </w:r>
    </w:p>
    <w:p w14:paraId="06320859">
      <w:pPr>
        <w:pStyle w:val="1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4、项目属性：服务类。</w:t>
      </w:r>
    </w:p>
    <w:p w14:paraId="7AFE17D5">
      <w:pPr>
        <w:pStyle w:val="53"/>
        <w:keepNext w:val="0"/>
        <w:keepLines w:val="0"/>
        <w:pageBreakBefore w:val="0"/>
        <w:kinsoku/>
        <w:wordWrap/>
        <w:overflowPunct/>
        <w:topLinePunct w:val="0"/>
        <w:autoSpaceDE/>
        <w:autoSpaceDN/>
        <w:bidi w:val="0"/>
        <w:adjustRightInd/>
        <w:snapToGrid/>
        <w:spacing w:beforeAutospacing="0" w:afterAutospacing="0" w:line="360" w:lineRule="auto"/>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eastAsia="zh-CN"/>
        </w:rPr>
        <w:t>二、其他</w:t>
      </w:r>
    </w:p>
    <w:p w14:paraId="7FF88D8B">
      <w:pPr>
        <w:pStyle w:val="1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1、报价要求（含税）：本项目采用</w:t>
      </w:r>
      <w:r>
        <w:rPr>
          <w:rFonts w:hint="eastAsia" w:ascii="宋体" w:hAnsi="宋体" w:eastAsia="宋体" w:cs="宋体"/>
          <w:b w:val="0"/>
          <w:bCs w:val="0"/>
          <w:color w:val="auto"/>
          <w:sz w:val="21"/>
          <w:szCs w:val="21"/>
          <w:highlight w:val="none"/>
        </w:rPr>
        <w:t>总价形式进行报价，参选人所报总价不能超过本项目的最高限价。</w:t>
      </w:r>
      <w:r>
        <w:rPr>
          <w:rFonts w:hint="eastAsia" w:ascii="宋体" w:hAnsi="宋体" w:eastAsia="宋体" w:cs="宋体"/>
          <w:b w:val="0"/>
          <w:bCs w:val="0"/>
          <w:color w:val="auto"/>
          <w:sz w:val="21"/>
          <w:szCs w:val="21"/>
          <w:highlight w:val="none"/>
          <w:lang w:eastAsia="zh-CN"/>
        </w:rPr>
        <w:t>报价包括但不限于</w:t>
      </w:r>
      <w:r>
        <w:rPr>
          <w:rFonts w:hint="eastAsia" w:ascii="宋体" w:hAnsi="宋体" w:eastAsia="宋体" w:cs="宋体"/>
          <w:b w:val="0"/>
          <w:bCs w:val="0"/>
          <w:color w:val="auto"/>
          <w:sz w:val="21"/>
          <w:szCs w:val="21"/>
          <w:highlight w:val="none"/>
        </w:rPr>
        <w:t>人员</w:t>
      </w:r>
      <w:r>
        <w:rPr>
          <w:rFonts w:hint="eastAsia" w:ascii="宋体" w:hAnsi="宋体" w:eastAsia="宋体" w:cs="宋体"/>
          <w:b w:val="0"/>
          <w:bCs w:val="0"/>
          <w:color w:val="auto"/>
          <w:sz w:val="21"/>
          <w:szCs w:val="21"/>
          <w:highlight w:val="none"/>
          <w:lang w:eastAsia="zh-CN"/>
        </w:rPr>
        <w:t>费用</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eastAsia="zh-CN"/>
        </w:rPr>
        <w:t>设备与工具、运输费用</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eastAsia="zh-CN"/>
        </w:rPr>
        <w:t>成本、</w:t>
      </w:r>
      <w:r>
        <w:rPr>
          <w:rFonts w:hint="eastAsia" w:ascii="宋体" w:hAnsi="宋体" w:eastAsia="宋体" w:cs="宋体"/>
          <w:b w:val="0"/>
          <w:bCs w:val="0"/>
          <w:color w:val="auto"/>
          <w:sz w:val="21"/>
          <w:szCs w:val="21"/>
          <w:highlight w:val="none"/>
        </w:rPr>
        <w:t>相关废弃物处理处置（填埋费）、</w:t>
      </w:r>
      <w:r>
        <w:rPr>
          <w:rFonts w:hint="eastAsia" w:ascii="宋体" w:hAnsi="宋体" w:eastAsia="宋体" w:cs="宋体"/>
          <w:b w:val="0"/>
          <w:bCs w:val="0"/>
          <w:color w:val="auto"/>
          <w:sz w:val="21"/>
          <w:szCs w:val="21"/>
          <w:highlight w:val="none"/>
          <w:lang w:eastAsia="zh-CN"/>
        </w:rPr>
        <w:t>人员保险、</w:t>
      </w:r>
      <w:r>
        <w:rPr>
          <w:rFonts w:hint="eastAsia" w:ascii="宋体" w:hAnsi="宋体" w:eastAsia="宋体" w:cs="宋体"/>
          <w:b w:val="0"/>
          <w:bCs w:val="0"/>
          <w:color w:val="auto"/>
          <w:sz w:val="21"/>
          <w:szCs w:val="21"/>
          <w:highlight w:val="none"/>
          <w:lang w:val="en-US" w:eastAsia="zh-CN"/>
        </w:rPr>
        <w:t>税费、</w:t>
      </w:r>
      <w:r>
        <w:rPr>
          <w:rFonts w:hint="eastAsia" w:ascii="宋体" w:hAnsi="宋体" w:eastAsia="宋体" w:cs="宋体"/>
          <w:b w:val="0"/>
          <w:bCs w:val="0"/>
          <w:color w:val="auto"/>
          <w:kern w:val="0"/>
          <w:sz w:val="21"/>
          <w:szCs w:val="21"/>
          <w:highlight w:val="none"/>
          <w:lang w:val="en-US" w:eastAsia="zh-CN" w:bidi="ar-SA"/>
        </w:rPr>
        <w:t>合同实施过程中不可预见费用以及为完成本项目所引起的所有费用等。报价时，参选人充分考虑合同执行过程中人工单价、材料的物价变化、实际工作量增减的变化、政策性变化引起的价格变动等风险，同时认真考虑一切可能出现的影响项目完成的因素。合同执行期间合同总金额不变。</w:t>
      </w:r>
    </w:p>
    <w:p w14:paraId="617B4E5C">
      <w:pPr>
        <w:pStyle w:val="53"/>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2、本项目不接受联合体参选。不得将本项目合同转包、分包、挂靠。（提供承诺函并加盖参选人公章）</w:t>
      </w:r>
    </w:p>
    <w:p w14:paraId="6B8A5652">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3、参选人须具备政府相关部门颁发且在有效期内的《城市生活垃圾经营性清扫、收集、运输服务许可证》扫描件，且许可内容应包含城市生活垃圾经营性运输服务。（提供相关许可证扫描件）</w:t>
      </w:r>
    </w:p>
    <w:p w14:paraId="7507B1A8">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b w:val="0"/>
          <w:bCs w:val="0"/>
          <w:color w:val="auto"/>
          <w:highlight w:val="none"/>
        </w:rPr>
      </w:pP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highlight w:val="none"/>
          <w:lang w:val="en-US" w:eastAsia="zh-CN"/>
        </w:rPr>
        <w:t>、参选人须具备政府相关部门颁发且在有效期内的《道路运输经营许可证》，且经营范围应包含货运。（提供相关许可证扫描件）</w:t>
      </w:r>
    </w:p>
    <w:p w14:paraId="78080294">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5、参选人中选后，在合同履约期间因客观原因无法继续履约的，必须在2个日历天内书面函告采购人并说明原因，采购人有权终止合同，违约责任按照合同违约条款处理。（提供承诺函并加盖参选人公章）</w:t>
      </w:r>
    </w:p>
    <w:p w14:paraId="1FD7D82E">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b/>
          <w:color w:val="auto"/>
          <w:sz w:val="21"/>
          <w:szCs w:val="21"/>
          <w:highlight w:val="none"/>
        </w:rPr>
      </w:pPr>
    </w:p>
    <w:p w14:paraId="4186869A">
      <w:pPr>
        <w:pStyle w:val="2"/>
        <w:pageBreakBefore w:val="0"/>
        <w:numPr>
          <w:ilvl w:val="0"/>
          <w:numId w:val="0"/>
        </w:numPr>
        <w:kinsoku/>
        <w:wordWrap/>
        <w:overflowPunct/>
        <w:topLinePunct w:val="0"/>
        <w:bidi w:val="0"/>
        <w:adjustRightInd/>
        <w:snapToGrid/>
        <w:spacing w:before="0" w:beforeAutospacing="0" w:after="0" w:afterAutospacing="0" w:line="360" w:lineRule="auto"/>
        <w:ind w:left="440" w:leftChars="0" w:hanging="440" w:firstLineChars="0"/>
        <w:jc w:val="both"/>
        <w:textAlignment w:val="auto"/>
        <w:rPr>
          <w:rFonts w:hint="eastAsia" w:ascii="宋体" w:hAnsi="宋体" w:eastAsia="宋体" w:cs="宋体"/>
          <w:b/>
          <w:bCs/>
          <w:color w:val="auto"/>
          <w:kern w:val="44"/>
          <w:sz w:val="21"/>
          <w:szCs w:val="21"/>
          <w:highlight w:val="none"/>
          <w:lang w:val="en-US" w:eastAsia="zh-CN" w:bidi="ar-SA"/>
        </w:rPr>
      </w:pPr>
      <w:bookmarkStart w:id="965" w:name="_Toc26092"/>
      <w:bookmarkStart w:id="966" w:name="_Toc12061"/>
      <w:bookmarkStart w:id="967" w:name="_Toc29860"/>
      <w:r>
        <w:rPr>
          <w:rFonts w:hint="eastAsia" w:ascii="宋体" w:hAnsi="宋体" w:eastAsia="宋体" w:cs="宋体"/>
          <w:b/>
          <w:bCs/>
          <w:color w:val="auto"/>
          <w:kern w:val="44"/>
          <w:sz w:val="21"/>
          <w:szCs w:val="21"/>
          <w:highlight w:val="none"/>
          <w:lang w:val="en-US" w:eastAsia="zh-CN" w:bidi="ar-SA"/>
        </w:rPr>
        <w:t xml:space="preserve">第二部分 </w:t>
      </w:r>
      <w:r>
        <w:rPr>
          <w:rFonts w:hint="eastAsia" w:ascii="宋体" w:hAnsi="宋体" w:eastAsia="宋体" w:cs="宋体"/>
          <w:b/>
          <w:color w:val="auto"/>
          <w:sz w:val="21"/>
          <w:szCs w:val="21"/>
          <w:highlight w:val="none"/>
        </w:rPr>
        <w:t>项目服务内容及要求</w:t>
      </w:r>
      <w:bookmarkEnd w:id="965"/>
      <w:bookmarkEnd w:id="966"/>
      <w:bookmarkEnd w:id="967"/>
    </w:p>
    <w:p w14:paraId="4C058AC3">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22" w:firstLineChars="200"/>
        <w:jc w:val="both"/>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z w:val="21"/>
          <w:szCs w:val="21"/>
          <w:highlight w:val="none"/>
        </w:rPr>
        <w:t>★</w:t>
      </w:r>
      <w:r>
        <w:rPr>
          <w:rFonts w:hint="eastAsia" w:ascii="宋体" w:hAnsi="宋体" w:eastAsia="宋体" w:cs="宋体"/>
          <w:b/>
          <w:color w:val="auto"/>
          <w:sz w:val="21"/>
          <w:szCs w:val="21"/>
          <w:highlight w:val="none"/>
          <w:lang w:eastAsia="zh-CN"/>
        </w:rPr>
        <w:t>一</w:t>
      </w:r>
      <w:r>
        <w:rPr>
          <w:rFonts w:hint="eastAsia" w:ascii="宋体" w:hAnsi="宋体" w:eastAsia="宋体" w:cs="宋体"/>
          <w:b/>
          <w:color w:val="auto"/>
          <w:sz w:val="21"/>
          <w:szCs w:val="21"/>
          <w:highlight w:val="none"/>
        </w:rPr>
        <w:t>、</w:t>
      </w:r>
      <w:r>
        <w:rPr>
          <w:rFonts w:hint="eastAsia" w:cs="宋体"/>
          <w:b/>
          <w:color w:val="auto"/>
          <w:sz w:val="21"/>
          <w:szCs w:val="21"/>
          <w:highlight w:val="none"/>
          <w:lang w:eastAsia="zh-CN"/>
        </w:rPr>
        <w:t>清运要求</w:t>
      </w:r>
    </w:p>
    <w:p w14:paraId="75B6C33E">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eastAsia" w:ascii="宋体" w:hAnsi="宋体" w:eastAsia="宋体" w:cs="宋体"/>
          <w:b/>
          <w:color w:val="auto"/>
          <w:sz w:val="21"/>
          <w:szCs w:val="21"/>
          <w:highlight w:val="none"/>
          <w:lang w:eastAsia="zh-CN"/>
        </w:rPr>
        <w:t>清运</w:t>
      </w:r>
      <w:r>
        <w:rPr>
          <w:rFonts w:hint="eastAsia" w:ascii="宋体" w:hAnsi="宋体" w:eastAsia="宋体" w:cs="宋体"/>
          <w:b/>
          <w:color w:val="auto"/>
          <w:sz w:val="21"/>
          <w:szCs w:val="21"/>
          <w:highlight w:val="none"/>
        </w:rPr>
        <w:t>量</w:t>
      </w:r>
      <w:r>
        <w:rPr>
          <w:rFonts w:hint="eastAsia" w:ascii="宋体" w:hAnsi="宋体" w:eastAsia="宋体" w:cs="宋体"/>
          <w:b/>
          <w:color w:val="auto"/>
          <w:sz w:val="21"/>
          <w:szCs w:val="21"/>
          <w:highlight w:val="none"/>
          <w:lang w:eastAsia="zh-CN"/>
        </w:rPr>
        <w:t>：</w:t>
      </w:r>
      <w:r>
        <w:rPr>
          <w:rFonts w:hint="eastAsia" w:ascii="宋体" w:hAnsi="宋体" w:eastAsia="宋体" w:cs="宋体"/>
          <w:color w:val="auto"/>
          <w:kern w:val="0"/>
          <w:sz w:val="21"/>
          <w:szCs w:val="21"/>
          <w:highlight w:val="none"/>
          <w:lang w:val="en-US" w:eastAsia="zh-CN" w:bidi="ar-SA"/>
        </w:rPr>
        <w:t>采购人服务地点每天产生约90桶（120L/桶）生活垃圾，仅为预估量，参选人按照实际产生的垃圾量完成清运，超过预估量的清运费用已包含在参选报价中。</w:t>
      </w:r>
    </w:p>
    <w:p w14:paraId="0CB67637">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r>
        <w:rPr>
          <w:rFonts w:hint="eastAsia" w:ascii="宋体" w:hAnsi="宋体" w:eastAsia="宋体" w:cs="宋体"/>
          <w:bCs/>
          <w:color w:val="auto"/>
          <w:sz w:val="21"/>
          <w:szCs w:val="21"/>
          <w:highlight w:val="none"/>
          <w:lang w:eastAsia="zh-CN"/>
        </w:rPr>
        <w:t>作业时间：每天收运两次，</w:t>
      </w:r>
      <w:r>
        <w:rPr>
          <w:rFonts w:hint="eastAsia" w:ascii="宋体" w:hAnsi="宋体" w:eastAsia="宋体" w:cs="宋体"/>
          <w:bCs/>
          <w:color w:val="auto"/>
          <w:sz w:val="21"/>
          <w:szCs w:val="21"/>
          <w:highlight w:val="none"/>
        </w:rPr>
        <w:t>早上</w:t>
      </w:r>
      <w:r>
        <w:rPr>
          <w:rFonts w:hint="eastAsia" w:ascii="宋体" w:hAnsi="宋体" w:eastAsia="宋体" w:cs="宋体"/>
          <w:bCs/>
          <w:color w:val="auto"/>
          <w:sz w:val="21"/>
          <w:szCs w:val="21"/>
          <w:highlight w:val="none"/>
          <w:lang w:val="en-US" w:eastAsia="zh-CN"/>
        </w:rPr>
        <w:t>9:30</w:t>
      </w:r>
      <w:r>
        <w:rPr>
          <w:rFonts w:hint="eastAsia" w:ascii="宋体" w:hAnsi="宋体" w:eastAsia="宋体" w:cs="宋体"/>
          <w:bCs/>
          <w:color w:val="auto"/>
          <w:sz w:val="21"/>
          <w:szCs w:val="21"/>
          <w:highlight w:val="none"/>
        </w:rPr>
        <w:t>前</w:t>
      </w:r>
      <w:r>
        <w:rPr>
          <w:rFonts w:hint="eastAsia" w:ascii="宋体" w:hAnsi="宋体" w:eastAsia="宋体" w:cs="宋体"/>
          <w:bCs/>
          <w:color w:val="auto"/>
          <w:sz w:val="21"/>
          <w:szCs w:val="21"/>
          <w:highlight w:val="none"/>
          <w:lang w:eastAsia="zh-CN"/>
        </w:rPr>
        <w:t>、下午</w:t>
      </w:r>
      <w:r>
        <w:rPr>
          <w:rFonts w:hint="eastAsia" w:ascii="宋体" w:hAnsi="宋体" w:eastAsia="宋体" w:cs="宋体"/>
          <w:bCs/>
          <w:color w:val="auto"/>
          <w:sz w:val="21"/>
          <w:szCs w:val="21"/>
          <w:highlight w:val="none"/>
          <w:lang w:val="en-US" w:eastAsia="zh-CN"/>
        </w:rPr>
        <w:t>3:30前完成清运，</w:t>
      </w:r>
      <w:r>
        <w:rPr>
          <w:rFonts w:hint="eastAsia" w:ascii="宋体" w:hAnsi="宋体" w:eastAsia="宋体" w:cs="宋体"/>
          <w:b w:val="0"/>
          <w:bCs/>
          <w:color w:val="auto"/>
          <w:sz w:val="21"/>
          <w:szCs w:val="21"/>
          <w:highlight w:val="none"/>
        </w:rPr>
        <w:t>保证日产日清，</w:t>
      </w:r>
      <w:r>
        <w:rPr>
          <w:rFonts w:hint="eastAsia" w:ascii="宋体" w:hAnsi="宋体" w:eastAsia="宋体" w:cs="宋体"/>
          <w:bCs/>
          <w:color w:val="auto"/>
          <w:sz w:val="21"/>
          <w:szCs w:val="21"/>
          <w:highlight w:val="none"/>
        </w:rPr>
        <w:t>按时按点清运</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如出现极端天气</w:t>
      </w:r>
      <w:r>
        <w:rPr>
          <w:rFonts w:hint="eastAsia" w:ascii="宋体" w:hAnsi="宋体" w:eastAsia="宋体" w:cs="宋体"/>
          <w:bCs/>
          <w:color w:val="auto"/>
          <w:sz w:val="21"/>
          <w:szCs w:val="21"/>
          <w:highlight w:val="none"/>
          <w:lang w:eastAsia="zh-CN"/>
        </w:rPr>
        <w:t>等</w:t>
      </w:r>
      <w:r>
        <w:rPr>
          <w:rFonts w:hint="eastAsia" w:ascii="宋体" w:hAnsi="宋体" w:eastAsia="宋体" w:cs="宋体"/>
          <w:bCs/>
          <w:color w:val="auto"/>
          <w:sz w:val="21"/>
          <w:szCs w:val="21"/>
          <w:highlight w:val="none"/>
        </w:rPr>
        <w:t>特殊情况</w:t>
      </w:r>
      <w:r>
        <w:rPr>
          <w:rFonts w:hint="eastAsia" w:ascii="宋体" w:hAnsi="宋体" w:eastAsia="宋体" w:cs="宋体"/>
          <w:bCs/>
          <w:color w:val="auto"/>
          <w:sz w:val="21"/>
          <w:szCs w:val="21"/>
          <w:highlight w:val="none"/>
          <w:lang w:eastAsia="zh-CN"/>
        </w:rPr>
        <w:t>，参选人通过电话等方式与采购人沟通并同意后延迟作业，</w:t>
      </w:r>
      <w:r>
        <w:rPr>
          <w:rFonts w:hint="eastAsia" w:ascii="宋体" w:hAnsi="宋体" w:eastAsia="宋体" w:cs="宋体"/>
          <w:bCs/>
          <w:color w:val="auto"/>
          <w:sz w:val="21"/>
          <w:szCs w:val="21"/>
          <w:highlight w:val="none"/>
        </w:rPr>
        <w:t>清运时间间隔不得超过</w:t>
      </w:r>
      <w:r>
        <w:rPr>
          <w:rFonts w:hint="eastAsia" w:ascii="宋体" w:hAnsi="宋体" w:eastAsia="宋体" w:cs="宋体"/>
          <w:bCs/>
          <w:color w:val="auto"/>
          <w:sz w:val="21"/>
          <w:szCs w:val="21"/>
          <w:highlight w:val="none"/>
          <w:lang w:val="en-US" w:eastAsia="zh-CN"/>
        </w:rPr>
        <w:t>24</w:t>
      </w:r>
      <w:r>
        <w:rPr>
          <w:rFonts w:hint="eastAsia" w:ascii="宋体" w:hAnsi="宋体" w:eastAsia="宋体" w:cs="宋体"/>
          <w:bCs/>
          <w:color w:val="auto"/>
          <w:sz w:val="21"/>
          <w:szCs w:val="21"/>
          <w:highlight w:val="none"/>
        </w:rPr>
        <w:t>小时。</w:t>
      </w:r>
    </w:p>
    <w:p w14:paraId="740171CC">
      <w:pPr>
        <w:pStyle w:val="19"/>
        <w:keepNext w:val="0"/>
        <w:keepLines w:val="0"/>
        <w:pageBreakBefore w:val="0"/>
        <w:widowControl/>
        <w:numPr>
          <w:ilvl w:val="-1"/>
          <w:numId w:val="0"/>
        </w:numPr>
        <w:kinsoku/>
        <w:wordWrap/>
        <w:overflowPunct/>
        <w:topLinePunct w:val="0"/>
        <w:autoSpaceDE/>
        <w:autoSpaceDN/>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作业记录表：每次清运作业，作业记录表提交采购人需求管理部门存档，记录内容至少包括作业日期、时间、垃圾数量（单位：桶）、作业人员签名、经采购人需求管理部门签名确认。每月结算前提交作业记录汇总表，并经采购人需求管理部门签名确认。</w:t>
      </w:r>
    </w:p>
    <w:p w14:paraId="387A18A8">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22" w:firstLineChars="200"/>
        <w:jc w:val="both"/>
        <w:textAlignment w:val="auto"/>
        <w:rPr>
          <w:rFonts w:hint="eastAsia" w:ascii="宋体" w:hAnsi="宋体" w:eastAsia="宋体" w:cs="宋体"/>
          <w:b/>
          <w:color w:val="auto"/>
          <w:sz w:val="21"/>
          <w:szCs w:val="21"/>
          <w:highlight w:val="none"/>
          <w:lang w:eastAsia="zh-CN"/>
        </w:rPr>
      </w:pPr>
    </w:p>
    <w:p w14:paraId="4252EBCB">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22" w:firstLineChars="200"/>
        <w:jc w:val="both"/>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eastAsia="zh-CN"/>
        </w:rPr>
        <w:t>服务要求</w:t>
      </w:r>
    </w:p>
    <w:p w14:paraId="4F6CF201">
      <w:pPr>
        <w:keepNext w:val="0"/>
        <w:keepLines w:val="0"/>
        <w:pageBreakBefore w:val="0"/>
        <w:widowControl w:val="0"/>
        <w:tabs>
          <w:tab w:val="left" w:pos="-1995"/>
          <w:tab w:val="left" w:pos="0"/>
        </w:tabs>
        <w:kinsoku/>
        <w:wordWrap/>
        <w:overflowPunct/>
        <w:topLinePunct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（一）技术要求</w:t>
      </w:r>
    </w:p>
    <w:p w14:paraId="3EF3B937">
      <w:pPr>
        <w:keepNext w:val="0"/>
        <w:keepLines w:val="0"/>
        <w:pageBreakBefore w:val="0"/>
        <w:widowControl w:val="0"/>
        <w:tabs>
          <w:tab w:val="left" w:pos="-1995"/>
          <w:tab w:val="left" w:pos="0"/>
        </w:tabs>
        <w:kinsoku/>
        <w:wordWrap/>
        <w:overflowPunct/>
        <w:topLinePunct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bidi="ar-SA"/>
        </w:rPr>
        <w:t>1、</w:t>
      </w:r>
      <w:r>
        <w:rPr>
          <w:rFonts w:hint="eastAsia" w:ascii="宋体" w:hAnsi="宋体" w:eastAsia="宋体" w:cs="宋体"/>
          <w:b w:val="0"/>
          <w:bCs w:val="0"/>
          <w:color w:val="auto"/>
          <w:sz w:val="21"/>
          <w:szCs w:val="21"/>
          <w:highlight w:val="none"/>
        </w:rPr>
        <w:t>配套设备要求</w:t>
      </w:r>
      <w:r>
        <w:rPr>
          <w:rFonts w:hint="eastAsia" w:ascii="宋体" w:hAnsi="宋体" w:eastAsia="宋体" w:cs="宋体"/>
          <w:b w:val="0"/>
          <w:bCs w:val="0"/>
          <w:color w:val="auto"/>
          <w:sz w:val="21"/>
          <w:szCs w:val="21"/>
          <w:highlight w:val="none"/>
          <w:lang w:eastAsia="zh-CN"/>
        </w:rPr>
        <w:t>：具备</w:t>
      </w:r>
      <w:r>
        <w:rPr>
          <w:rFonts w:hint="eastAsia" w:ascii="宋体" w:hAnsi="宋体" w:eastAsia="宋体" w:cs="宋体"/>
          <w:b w:val="0"/>
          <w:bCs w:val="0"/>
          <w:color w:val="auto"/>
          <w:kern w:val="0"/>
          <w:sz w:val="21"/>
          <w:szCs w:val="21"/>
          <w:highlight w:val="none"/>
          <w:lang w:val="en-US" w:eastAsia="zh-CN" w:bidi="ar-SA"/>
        </w:rPr>
        <w:t>垃圾运输车</w:t>
      </w:r>
      <w:r>
        <w:rPr>
          <w:rFonts w:hint="eastAsia" w:ascii="宋体" w:hAnsi="宋体" w:cs="宋体"/>
          <w:b w:val="0"/>
          <w:bCs w:val="0"/>
          <w:color w:val="auto"/>
          <w:kern w:val="0"/>
          <w:sz w:val="21"/>
          <w:szCs w:val="21"/>
          <w:highlight w:val="none"/>
          <w:lang w:val="en-US" w:eastAsia="zh-CN" w:bidi="ar-SA"/>
        </w:rPr>
        <w:t>（</w:t>
      </w:r>
      <w:r>
        <w:rPr>
          <w:rFonts w:hint="eastAsia" w:ascii="宋体" w:hAnsi="宋体" w:cs="宋体"/>
          <w:b w:val="0"/>
          <w:bCs w:val="0"/>
          <w:color w:val="auto"/>
          <w:highlight w:val="none"/>
          <w:lang w:val="en-US" w:eastAsia="zh-CN"/>
        </w:rPr>
        <w:t>全密闭自动卸载车辆或</w:t>
      </w:r>
      <w:r>
        <w:rPr>
          <w:rFonts w:hint="eastAsia" w:ascii="宋体" w:hAnsi="宋体" w:eastAsia="宋体" w:cs="宋体"/>
          <w:b w:val="0"/>
          <w:bCs w:val="0"/>
          <w:color w:val="auto"/>
          <w:highlight w:val="none"/>
          <w:lang w:val="en-US" w:eastAsia="zh-CN"/>
        </w:rPr>
        <w:t>垃圾压缩车</w:t>
      </w:r>
      <w:r>
        <w:rPr>
          <w:rFonts w:hint="eastAsia" w:ascii="宋体" w:hAnsi="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CN" w:bidi="ar-SA"/>
        </w:rPr>
        <w:t>不少于</w:t>
      </w:r>
      <w:r>
        <w:rPr>
          <w:rFonts w:hint="eastAsia" w:ascii="宋体" w:hAnsi="宋体" w:cs="宋体"/>
          <w:b w:val="0"/>
          <w:bCs w:val="0"/>
          <w:color w:val="auto"/>
          <w:kern w:val="0"/>
          <w:sz w:val="21"/>
          <w:szCs w:val="21"/>
          <w:highlight w:val="none"/>
          <w:lang w:val="en-US" w:eastAsia="zh-CN" w:bidi="ar-SA"/>
        </w:rPr>
        <w:t>1</w:t>
      </w:r>
      <w:r>
        <w:rPr>
          <w:rFonts w:hint="eastAsia" w:ascii="宋体" w:hAnsi="宋体" w:eastAsia="宋体" w:cs="宋体"/>
          <w:b w:val="0"/>
          <w:bCs w:val="0"/>
          <w:color w:val="auto"/>
          <w:kern w:val="0"/>
          <w:sz w:val="21"/>
          <w:szCs w:val="21"/>
          <w:highlight w:val="none"/>
          <w:lang w:val="en-US" w:eastAsia="zh-CN" w:bidi="ar-SA"/>
        </w:rPr>
        <w:t>辆</w:t>
      </w:r>
      <w:r>
        <w:rPr>
          <w:rFonts w:hint="eastAsia" w:ascii="宋体" w:hAnsi="宋体" w:cs="宋体"/>
          <w:b w:val="0"/>
          <w:bCs w:val="0"/>
          <w:color w:val="auto"/>
          <w:kern w:val="0"/>
          <w:sz w:val="21"/>
          <w:szCs w:val="21"/>
          <w:highlight w:val="none"/>
          <w:lang w:val="en-US" w:eastAsia="zh-CN" w:bidi="ar-SA"/>
        </w:rPr>
        <w:t>，</w:t>
      </w:r>
      <w:r>
        <w:rPr>
          <w:rFonts w:hint="eastAsia" w:ascii="宋体" w:hAnsi="宋体" w:cs="宋体"/>
          <w:b w:val="0"/>
          <w:bCs w:val="0"/>
          <w:color w:val="auto"/>
          <w:highlight w:val="none"/>
          <w:lang w:val="en-US" w:eastAsia="zh-CN"/>
        </w:rPr>
        <w:t>垃圾装车附属设备（叉车）自备</w:t>
      </w:r>
      <w:r>
        <w:rPr>
          <w:rFonts w:hint="eastAsia" w:ascii="宋体" w:hAnsi="宋体" w:eastAsia="宋体" w:cs="宋体"/>
          <w:b w:val="0"/>
          <w:bCs w:val="0"/>
          <w:color w:val="auto"/>
          <w:kern w:val="0"/>
          <w:sz w:val="21"/>
          <w:szCs w:val="21"/>
          <w:highlight w:val="none"/>
          <w:lang w:val="en-US" w:eastAsia="zh-CN" w:bidi="ar-SA"/>
        </w:rPr>
        <w:t>。</w:t>
      </w:r>
    </w:p>
    <w:p w14:paraId="4237CD24">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2、人员要求:</w:t>
      </w:r>
    </w:p>
    <w:p w14:paraId="0F81884E">
      <w:pPr>
        <w:pStyle w:val="8"/>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cs="宋体"/>
          <w:b w:val="0"/>
          <w:bCs w:val="0"/>
          <w:color w:val="auto"/>
          <w:highlight w:val="none"/>
          <w:lang w:val="en-US" w:eastAsia="zh-CN"/>
        </w:rPr>
      </w:pP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kern w:val="0"/>
          <w:sz w:val="21"/>
          <w:szCs w:val="21"/>
          <w:highlight w:val="none"/>
          <w:lang w:val="en-US" w:eastAsia="zh-CN" w:bidi="ar-SA"/>
        </w:rPr>
        <w:t>1）</w:t>
      </w:r>
      <w:r>
        <w:rPr>
          <w:rFonts w:hint="eastAsia" w:ascii="宋体" w:hAnsi="宋体" w:cs="宋体"/>
          <w:b w:val="0"/>
          <w:bCs w:val="0"/>
          <w:color w:val="auto"/>
          <w:kern w:val="0"/>
          <w:sz w:val="21"/>
          <w:szCs w:val="21"/>
          <w:highlight w:val="none"/>
          <w:lang w:val="en-US" w:eastAsia="zh-CN" w:bidi="ar-SA"/>
        </w:rPr>
        <w:t>至少一人</w:t>
      </w:r>
      <w:r>
        <w:rPr>
          <w:rFonts w:hint="eastAsia" w:ascii="宋体" w:hAnsi="宋体" w:eastAsia="宋体" w:cs="宋体"/>
          <w:b w:val="0"/>
          <w:bCs w:val="0"/>
          <w:color w:val="auto"/>
          <w:highlight w:val="none"/>
          <w:lang w:val="en-US" w:eastAsia="zh-CN"/>
        </w:rPr>
        <w:t>须具备</w:t>
      </w:r>
      <w:r>
        <w:rPr>
          <w:rFonts w:hint="eastAsia" w:ascii="宋体" w:hAnsi="宋体" w:cs="宋体"/>
          <w:b w:val="0"/>
          <w:bCs w:val="0"/>
          <w:color w:val="auto"/>
          <w:highlight w:val="none"/>
          <w:lang w:val="en-US" w:eastAsia="zh-CN"/>
        </w:rPr>
        <w:t>有效的《机动车驾驶证》，且准驾车型为B2或A2或A1。（</w:t>
      </w:r>
      <w:r>
        <w:rPr>
          <w:rFonts w:hint="eastAsia" w:ascii="宋体" w:hAnsi="宋体" w:eastAsia="宋体" w:cs="宋体"/>
          <w:b w:val="0"/>
          <w:bCs w:val="0"/>
          <w:color w:val="auto"/>
          <w:sz w:val="21"/>
          <w:szCs w:val="21"/>
          <w:highlight w:val="none"/>
        </w:rPr>
        <w:t>提供证书扫描件并加盖参选人公章</w:t>
      </w:r>
      <w:r>
        <w:rPr>
          <w:rFonts w:hint="eastAsia" w:ascii="宋体" w:hAnsi="宋体" w:cs="宋体"/>
          <w:b w:val="0"/>
          <w:bCs w:val="0"/>
          <w:color w:val="auto"/>
          <w:highlight w:val="none"/>
          <w:lang w:val="en-US" w:eastAsia="zh-CN"/>
        </w:rPr>
        <w:t>）</w:t>
      </w:r>
    </w:p>
    <w:p w14:paraId="4FDF3D5D">
      <w:pPr>
        <w:pStyle w:val="8"/>
        <w:keepNext w:val="0"/>
        <w:keepLines w:val="0"/>
        <w:pageBreakBefore w:val="0"/>
        <w:widowControl w:val="0"/>
        <w:kinsoku/>
        <w:wordWrap/>
        <w:overflowPunct/>
        <w:topLinePunct w:val="0"/>
        <w:bidi w:val="0"/>
        <w:adjustRightInd/>
        <w:snapToGrid/>
        <w:spacing w:line="360" w:lineRule="auto"/>
        <w:ind w:left="0" w:firstLine="420" w:firstLineChars="200"/>
        <w:textAlignment w:val="auto"/>
        <w:rPr>
          <w:rFonts w:hint="default" w:ascii="宋体" w:hAnsi="宋体" w:cs="宋体"/>
          <w:b w:val="0"/>
          <w:bCs w:val="0"/>
          <w:color w:val="auto"/>
          <w:highlight w:val="none"/>
          <w:lang w:val="en-US" w:eastAsia="zh-CN"/>
        </w:rPr>
      </w:pP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highlight w:val="none"/>
          <w:lang w:val="en-US" w:eastAsia="zh-CN"/>
        </w:rPr>
        <w:t>（2）</w:t>
      </w:r>
      <w:r>
        <w:rPr>
          <w:rFonts w:hint="eastAsia" w:ascii="宋体" w:hAnsi="宋体" w:cs="宋体"/>
          <w:b w:val="0"/>
          <w:bCs w:val="0"/>
          <w:color w:val="auto"/>
          <w:kern w:val="0"/>
          <w:sz w:val="21"/>
          <w:szCs w:val="21"/>
          <w:highlight w:val="none"/>
          <w:lang w:val="en-US" w:eastAsia="zh-CN" w:bidi="ar-SA"/>
        </w:rPr>
        <w:t>至少一人</w:t>
      </w:r>
      <w:r>
        <w:rPr>
          <w:rFonts w:hint="eastAsia" w:ascii="宋体" w:hAnsi="宋体" w:cs="宋体"/>
          <w:b w:val="0"/>
          <w:bCs w:val="0"/>
          <w:color w:val="auto"/>
          <w:highlight w:val="none"/>
          <w:lang w:val="en-US" w:eastAsia="zh-CN"/>
        </w:rPr>
        <w:t>须具备有效的《中华人民共和国道路运输从业人员从业资格证》，且准驾车型为B2或A2或A1，从业资格类型包含经营性道路货物运输驾驶员。（</w:t>
      </w:r>
      <w:r>
        <w:rPr>
          <w:rFonts w:hint="eastAsia" w:ascii="宋体" w:hAnsi="宋体" w:eastAsia="宋体" w:cs="宋体"/>
          <w:b w:val="0"/>
          <w:bCs w:val="0"/>
          <w:color w:val="auto"/>
          <w:sz w:val="21"/>
          <w:szCs w:val="21"/>
          <w:highlight w:val="none"/>
        </w:rPr>
        <w:t>提供证书扫描件并加盖参选人公章</w:t>
      </w:r>
      <w:r>
        <w:rPr>
          <w:rFonts w:hint="eastAsia" w:ascii="宋体" w:hAnsi="宋体" w:cs="宋体"/>
          <w:b w:val="0"/>
          <w:bCs w:val="0"/>
          <w:color w:val="auto"/>
          <w:highlight w:val="none"/>
          <w:lang w:val="en-US" w:eastAsia="zh-CN"/>
        </w:rPr>
        <w:t>）</w:t>
      </w:r>
    </w:p>
    <w:p w14:paraId="2BFA9E4A">
      <w:pPr>
        <w:keepNext w:val="0"/>
        <w:keepLines w:val="0"/>
        <w:pageBreakBefore w:val="0"/>
        <w:widowControl w:val="0"/>
        <w:numPr>
          <w:ilvl w:val="0"/>
          <w:numId w:val="0"/>
        </w:numPr>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操作人员</w:t>
      </w:r>
      <w:r>
        <w:rPr>
          <w:rFonts w:hint="eastAsia" w:ascii="宋体" w:hAnsi="宋体" w:eastAsia="宋体" w:cs="宋体"/>
          <w:color w:val="auto"/>
          <w:kern w:val="0"/>
          <w:sz w:val="21"/>
          <w:szCs w:val="21"/>
          <w:highlight w:val="none"/>
          <w:u w:val="none"/>
          <w:lang w:val="en-US" w:eastAsia="zh-CN" w:bidi="ar-SA"/>
        </w:rPr>
        <w:t>经</w:t>
      </w:r>
      <w:r>
        <w:rPr>
          <w:rFonts w:hint="eastAsia" w:ascii="宋体" w:hAnsi="宋体" w:eastAsia="宋体" w:cs="宋体"/>
          <w:color w:val="auto"/>
          <w:kern w:val="0"/>
          <w:sz w:val="21"/>
          <w:szCs w:val="21"/>
          <w:highlight w:val="none"/>
          <w:lang w:val="en-US" w:eastAsia="zh-CN" w:bidi="ar-SA"/>
        </w:rPr>
        <w:t>培训，并有安全培训</w:t>
      </w:r>
      <w:r>
        <w:rPr>
          <w:rFonts w:hint="eastAsia" w:ascii="宋体" w:hAnsi="宋体" w:cs="宋体"/>
          <w:color w:val="auto"/>
          <w:kern w:val="0"/>
          <w:sz w:val="21"/>
          <w:szCs w:val="21"/>
          <w:highlight w:val="none"/>
          <w:lang w:val="en-US" w:eastAsia="zh-CN" w:bidi="ar-SA"/>
        </w:rPr>
        <w:t>记录</w:t>
      </w:r>
      <w:r>
        <w:rPr>
          <w:rFonts w:hint="eastAsia" w:ascii="宋体" w:hAnsi="宋体" w:eastAsia="宋体" w:cs="宋体"/>
          <w:color w:val="auto"/>
          <w:kern w:val="0"/>
          <w:sz w:val="21"/>
          <w:szCs w:val="21"/>
          <w:highlight w:val="none"/>
          <w:lang w:val="en-US" w:eastAsia="zh-CN" w:bidi="ar-SA"/>
        </w:rPr>
        <w:t>，具备相应的安全知识，作业时做好安全警示标志，防止发生意外。</w:t>
      </w:r>
    </w:p>
    <w:p w14:paraId="010A8BAE">
      <w:pPr>
        <w:keepNext w:val="0"/>
        <w:keepLines w:val="0"/>
        <w:pageBreakBefore w:val="0"/>
        <w:widowControl w:val="0"/>
        <w:numPr>
          <w:ilvl w:val="0"/>
          <w:numId w:val="0"/>
        </w:numPr>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r>
        <w:rPr>
          <w:rFonts w:hint="eastAsia" w:ascii="宋体" w:hAnsi="宋体" w:eastAsia="宋体" w:cs="宋体"/>
          <w:color w:val="auto"/>
          <w:kern w:val="0"/>
          <w:sz w:val="21"/>
          <w:szCs w:val="21"/>
          <w:highlight w:val="none"/>
          <w:lang w:val="en-US" w:eastAsia="zh-CN" w:bidi="ar-SA"/>
        </w:rPr>
        <w:t>作业时穿着统一款式的工作服，保持衣冠整洁</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佩戴工号牌，有明显所属单位标志。按规定配戴劳保用品作业，使用文明礼貌用语</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能听会说普通话。</w:t>
      </w:r>
    </w:p>
    <w:p w14:paraId="47E3D584">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bCs/>
          <w:color w:val="auto"/>
          <w:sz w:val="21"/>
          <w:szCs w:val="21"/>
          <w:highlight w:val="none"/>
        </w:rPr>
        <w:t>★</w:t>
      </w:r>
      <w:r>
        <w:rPr>
          <w:rFonts w:hint="eastAsia" w:ascii="宋体" w:hAnsi="宋体" w:cs="宋体"/>
          <w:b w:val="0"/>
          <w:bCs w:val="0"/>
          <w:color w:val="auto"/>
          <w:sz w:val="21"/>
          <w:szCs w:val="21"/>
          <w:highlight w:val="none"/>
          <w:lang w:eastAsia="zh-CN"/>
        </w:rPr>
        <w:t>（</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 xml:space="preserve">）服务人员不少于 </w:t>
      </w:r>
      <w:r>
        <w:rPr>
          <w:rFonts w:hint="eastAsia" w:ascii="宋体" w:hAnsi="宋体" w:cs="宋体"/>
          <w:color w:val="auto"/>
          <w:kern w:val="0"/>
          <w:sz w:val="21"/>
          <w:szCs w:val="21"/>
          <w:highlight w:val="none"/>
          <w:lang w:val="en-US" w:eastAsia="zh-CN" w:bidi="ar-SA"/>
        </w:rPr>
        <w:t>2</w:t>
      </w:r>
      <w:r>
        <w:rPr>
          <w:rFonts w:hint="eastAsia" w:ascii="宋体" w:hAnsi="宋体" w:eastAsia="宋体" w:cs="宋体"/>
          <w:color w:val="auto"/>
          <w:kern w:val="0"/>
          <w:sz w:val="21"/>
          <w:szCs w:val="21"/>
          <w:highlight w:val="none"/>
          <w:lang w:val="en-US" w:eastAsia="zh-CN" w:bidi="ar-SA"/>
        </w:rPr>
        <w:t>人</w:t>
      </w:r>
      <w:r>
        <w:rPr>
          <w:rFonts w:hint="eastAsia" w:ascii="宋体" w:hAnsi="宋体" w:cs="宋体"/>
          <w:color w:val="auto"/>
          <w:kern w:val="0"/>
          <w:sz w:val="21"/>
          <w:szCs w:val="21"/>
          <w:highlight w:val="none"/>
          <w:lang w:val="en-US" w:eastAsia="zh-CN" w:bidi="ar-SA"/>
        </w:rPr>
        <w:t>（其中</w:t>
      </w:r>
      <w:r>
        <w:rPr>
          <w:rFonts w:hint="eastAsia" w:ascii="宋体" w:hAnsi="宋体" w:cs="宋体"/>
          <w:b w:val="0"/>
          <w:bCs w:val="0"/>
          <w:color w:val="auto"/>
          <w:kern w:val="0"/>
          <w:sz w:val="21"/>
          <w:szCs w:val="21"/>
          <w:highlight w:val="none"/>
          <w:lang w:val="en-US" w:eastAsia="zh-CN" w:bidi="ar-SA"/>
        </w:rPr>
        <w:t>至少</w:t>
      </w:r>
      <w:r>
        <w:rPr>
          <w:rFonts w:hint="eastAsia" w:ascii="宋体" w:hAnsi="宋体" w:cs="宋体"/>
          <w:color w:val="auto"/>
          <w:kern w:val="0"/>
          <w:sz w:val="21"/>
          <w:szCs w:val="21"/>
          <w:highlight w:val="none"/>
          <w:lang w:val="en-US" w:eastAsia="zh-CN" w:bidi="ar-SA"/>
        </w:rPr>
        <w:t>包含1名司机人员及1名操作人员）</w:t>
      </w:r>
      <w:r>
        <w:rPr>
          <w:rFonts w:hint="eastAsia" w:ascii="宋体" w:hAnsi="宋体" w:eastAsia="宋体" w:cs="宋体"/>
          <w:color w:val="auto"/>
          <w:kern w:val="0"/>
          <w:sz w:val="21"/>
          <w:szCs w:val="21"/>
          <w:highlight w:val="none"/>
          <w:lang w:val="en-US" w:eastAsia="zh-CN" w:bidi="ar-SA"/>
        </w:rPr>
        <w:t>，服务人员由参选人自行管理。</w:t>
      </w:r>
    </w:p>
    <w:p w14:paraId="170AFD65">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lang w:val="en-US" w:eastAsia="zh-CN" w:bidi="ar-SA"/>
        </w:rPr>
        <w:t>如发生紧急情况，采购人临时需要应急人员时，参选人必须临时调整，在 1 小时内所有应急人员必须到达采购人的指定位置，以保证本项目正常运行。</w:t>
      </w:r>
    </w:p>
    <w:p w14:paraId="51DFF4FB">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（7）</w:t>
      </w:r>
      <w:r>
        <w:rPr>
          <w:rFonts w:hint="eastAsia" w:ascii="宋体" w:hAnsi="宋体" w:cs="宋体"/>
          <w:b w:val="0"/>
          <w:bCs/>
          <w:color w:val="auto"/>
          <w:kern w:val="2"/>
          <w:highlight w:val="none"/>
          <w:lang w:val="en-US" w:eastAsia="zh-CN"/>
        </w:rPr>
        <w:t>参选人拟投入本项目的服务团队人员中具备《生活垃圾清运工》职业资格（或职业技能等级）证书。</w:t>
      </w:r>
    </w:p>
    <w:p w14:paraId="72EBC42F">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二</w:t>
      </w:r>
      <w:r>
        <w:rPr>
          <w:rFonts w:hint="eastAsia" w:ascii="宋体" w:hAnsi="宋体" w:eastAsia="宋体" w:cs="宋体"/>
          <w:color w:val="auto"/>
          <w:kern w:val="0"/>
          <w:sz w:val="21"/>
          <w:szCs w:val="21"/>
          <w:highlight w:val="none"/>
          <w:lang w:val="en-US" w:eastAsia="zh-CN" w:bidi="ar-SA"/>
        </w:rPr>
        <w:t>）其他服务要求</w:t>
      </w:r>
    </w:p>
    <w:p w14:paraId="1A56439A">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1、参选人需确保废弃物处理和清运途径的合法性，不得造成二次污染。</w:t>
      </w:r>
    </w:p>
    <w:p w14:paraId="6F5DB3BB">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2、参选人接受采购人检查、监督和指导，听取采购人的合理意见并积极协助采购人配合政府部门的各项工作检查及整改。</w:t>
      </w:r>
    </w:p>
    <w:p w14:paraId="4488340D">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3、参选人在清运工作时应做到安全、有序</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自觉遵守管理制度。参选人工作人员在废弃物清运工作时</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发生伤亡等安全事故</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其一切责任由参选人自负</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采购人不承担任何责任。参选人在合同期间，生产作业必须符合《中华人民共和国安全生产法》的规定，造成人员伤亡和财产损失的</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由参选人负责承担一切法律和经济赔偿责任。</w:t>
      </w:r>
    </w:p>
    <w:p w14:paraId="5EA3FAA4">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4、参选人服务人员的聘用符合《中华人民共和国劳动法》，薪资、福利待遇符合广州市劳动用工的相关规定，不得因劳资纠纷影响采购人项目的实施。</w:t>
      </w:r>
    </w:p>
    <w:p w14:paraId="2472C5EC">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5、参选人安全作业，严格按照相关法规的要求，制定和落实包括但不限于作业安全、消防安全、交通安全等规章制度。</w:t>
      </w:r>
    </w:p>
    <w:p w14:paraId="6976095C">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7、参选人协助采购人处理垃圾中转站内的日常卫生清洁工作和管理，保证场内卫生整齐、干净。</w:t>
      </w:r>
    </w:p>
    <w:p w14:paraId="77FA0A62">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8、参选人在清运过程中如出现损坏采购人的垃圾容器及其他公用设施的，由参选人负责赔偿。</w:t>
      </w:r>
    </w:p>
    <w:p w14:paraId="136C4AE6">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9、参选人在合同期内其工作人员发生各种事故，包括治安、交通、防火、劳资纠纷等事件，所造成一切后果及损失，由参选人负责承担所有责任和经济赔偿。</w:t>
      </w:r>
    </w:p>
    <w:p w14:paraId="4A2CBD3C">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bCs/>
          <w:color w:val="auto"/>
          <w:sz w:val="21"/>
          <w:szCs w:val="21"/>
          <w:highlight w:val="none"/>
        </w:rPr>
        <w:t>★</w:t>
      </w:r>
      <w:r>
        <w:rPr>
          <w:rFonts w:hint="eastAsia" w:ascii="宋体" w:hAnsi="宋体" w:eastAsia="宋体" w:cs="宋体"/>
          <w:color w:val="auto"/>
          <w:kern w:val="0"/>
          <w:sz w:val="21"/>
          <w:szCs w:val="21"/>
          <w:highlight w:val="none"/>
          <w:lang w:val="en-US" w:eastAsia="zh-CN" w:bidi="ar-SA"/>
        </w:rPr>
        <w:t>10、如因参选人引起的劳资纠纷等问题，影响正常工作时，采购人有权另行聘请人员确保正常工作，所产生的费用在参选人的合同费用中相应扣减。</w:t>
      </w:r>
    </w:p>
    <w:p w14:paraId="450DE78B">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11、</w:t>
      </w:r>
      <w:r>
        <w:rPr>
          <w:rFonts w:hint="eastAsia" w:ascii="宋体" w:hAnsi="宋体" w:cs="宋体"/>
          <w:color w:val="auto"/>
          <w:kern w:val="0"/>
          <w:sz w:val="21"/>
          <w:szCs w:val="21"/>
          <w:highlight w:val="none"/>
          <w:lang w:val="en-US" w:eastAsia="zh-CN" w:bidi="ar-SA"/>
        </w:rPr>
        <w:t>参选人</w:t>
      </w:r>
      <w:r>
        <w:rPr>
          <w:rFonts w:hint="eastAsia" w:ascii="宋体" w:hAnsi="宋体" w:eastAsia="宋体" w:cs="宋体"/>
          <w:color w:val="auto"/>
          <w:kern w:val="0"/>
          <w:sz w:val="21"/>
          <w:szCs w:val="21"/>
          <w:highlight w:val="none"/>
          <w:lang w:val="en-US" w:eastAsia="zh-CN" w:bidi="ar-SA"/>
        </w:rPr>
        <w:t>确保各垃圾收集点卫生整洁，垃圾桶摆放整齐。</w:t>
      </w:r>
    </w:p>
    <w:p w14:paraId="53C72133">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12、垃圾运输车</w:t>
      </w:r>
      <w:r>
        <w:rPr>
          <w:rFonts w:hint="eastAsia" w:ascii="宋体" w:hAnsi="宋体" w:cs="宋体"/>
          <w:color w:val="auto"/>
          <w:kern w:val="0"/>
          <w:sz w:val="21"/>
          <w:szCs w:val="21"/>
          <w:highlight w:val="none"/>
          <w:lang w:val="en-US" w:eastAsia="zh-CN" w:bidi="ar-SA"/>
        </w:rPr>
        <w:t>（</w:t>
      </w:r>
      <w:r>
        <w:rPr>
          <w:rFonts w:hint="eastAsia" w:ascii="宋体" w:hAnsi="宋体" w:cs="宋体"/>
          <w:color w:val="auto"/>
          <w:highlight w:val="none"/>
          <w:lang w:val="en-US" w:eastAsia="zh-CN"/>
        </w:rPr>
        <w:t>全密闭自动卸载车辆或</w:t>
      </w:r>
      <w:r>
        <w:rPr>
          <w:rFonts w:hint="eastAsia" w:ascii="宋体" w:hAnsi="宋体" w:eastAsia="宋体" w:cs="宋体"/>
          <w:color w:val="auto"/>
          <w:highlight w:val="none"/>
          <w:lang w:val="en-US" w:eastAsia="zh-CN"/>
        </w:rPr>
        <w:t>垃圾压缩车</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涂装标识合规，整体外观整洁，功能完善，性能可靠，做到</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三无” 要求: 无垃圾外露、无残余物外挂、无污水滴漏；遵守交通规则，不得超速超载行驶，遵守填埋场管理规定，文明礼貌，要求每天对车辆进行清洗和车况检查, 保持车容车貌整洁干净。</w:t>
      </w:r>
    </w:p>
    <w:p w14:paraId="04033881">
      <w:pPr>
        <w:keepNext w:val="0"/>
        <w:keepLines w:val="0"/>
        <w:pageBreakBefore w:val="0"/>
        <w:widowControl w:val="0"/>
        <w:tabs>
          <w:tab w:val="left" w:pos="-1995"/>
          <w:tab w:val="left" w:pos="0"/>
        </w:tabs>
        <w:kinsoku/>
        <w:wordWrap/>
        <w:overflowPunct/>
        <w:topLinePunct w:val="0"/>
        <w:autoSpaceDE/>
        <w:autoSpaceDN/>
        <w:bidi w:val="0"/>
        <w:adjustRightInd/>
        <w:snapToGrid/>
        <w:spacing w:beforeAutospacing="0" w:afterAutospacing="0" w:line="360" w:lineRule="auto"/>
        <w:ind w:left="0" w:firstLine="422" w:firstLineChars="200"/>
        <w:jc w:val="both"/>
        <w:textAlignment w:val="auto"/>
        <w:rPr>
          <w:rFonts w:hint="eastAsia" w:ascii="宋体" w:hAnsi="宋体" w:eastAsia="宋体" w:cs="宋体"/>
          <w:color w:val="auto"/>
          <w:kern w:val="0"/>
          <w:sz w:val="21"/>
          <w:szCs w:val="21"/>
          <w:highlight w:val="none"/>
        </w:rPr>
      </w:pPr>
      <w:bookmarkStart w:id="968" w:name="_Toc503229202"/>
      <w:bookmarkStart w:id="969" w:name="_Toc6013"/>
      <w:bookmarkStart w:id="970" w:name="_Toc396210745"/>
      <w:bookmarkStart w:id="971" w:name="_Toc25347"/>
      <w:bookmarkStart w:id="972" w:name="_Toc32187"/>
      <w:bookmarkStart w:id="973" w:name="_Toc8099"/>
      <w:bookmarkStart w:id="974" w:name="_Toc29730"/>
      <w:bookmarkStart w:id="975" w:name="_Toc30807"/>
      <w:bookmarkStart w:id="976" w:name="_Toc32249"/>
      <w:bookmarkStart w:id="977" w:name="_Toc399132617"/>
      <w:bookmarkStart w:id="978" w:name="_Toc521421194"/>
      <w:bookmarkStart w:id="979" w:name="_Toc26817"/>
      <w:r>
        <w:rPr>
          <w:rFonts w:hint="eastAsia" w:ascii="宋体" w:hAnsi="宋体" w:eastAsia="宋体" w:cs="宋体"/>
          <w:b/>
          <w:color w:val="auto"/>
          <w:kern w:val="0"/>
          <w:sz w:val="21"/>
          <w:szCs w:val="21"/>
          <w:highlight w:val="none"/>
          <w:lang w:val="en-US" w:eastAsia="zh-CN"/>
        </w:rPr>
        <w:t>13、</w:t>
      </w:r>
      <w:r>
        <w:rPr>
          <w:rFonts w:hint="eastAsia" w:ascii="宋体" w:hAnsi="宋体" w:eastAsia="宋体" w:cs="宋体"/>
          <w:b/>
          <w:color w:val="auto"/>
          <w:kern w:val="0"/>
          <w:sz w:val="21"/>
          <w:szCs w:val="21"/>
          <w:highlight w:val="none"/>
        </w:rPr>
        <w:t>安全、文明</w:t>
      </w:r>
      <w:r>
        <w:rPr>
          <w:rFonts w:hint="eastAsia" w:ascii="宋体" w:hAnsi="宋体" w:eastAsia="宋体" w:cs="宋体"/>
          <w:b/>
          <w:color w:val="auto"/>
          <w:kern w:val="0"/>
          <w:sz w:val="21"/>
          <w:szCs w:val="21"/>
          <w:highlight w:val="none"/>
          <w:lang w:eastAsia="zh-CN"/>
        </w:rPr>
        <w:t>作业</w:t>
      </w:r>
      <w:r>
        <w:rPr>
          <w:rFonts w:hint="eastAsia" w:ascii="宋体" w:hAnsi="宋体" w:eastAsia="宋体" w:cs="宋体"/>
          <w:b/>
          <w:color w:val="auto"/>
          <w:kern w:val="0"/>
          <w:sz w:val="21"/>
          <w:szCs w:val="21"/>
          <w:highlight w:val="none"/>
        </w:rPr>
        <w:t>的要求</w:t>
      </w:r>
      <w:bookmarkEnd w:id="968"/>
      <w:bookmarkEnd w:id="969"/>
      <w:bookmarkEnd w:id="970"/>
      <w:bookmarkEnd w:id="971"/>
      <w:bookmarkEnd w:id="972"/>
      <w:bookmarkEnd w:id="973"/>
      <w:bookmarkEnd w:id="974"/>
      <w:bookmarkEnd w:id="975"/>
      <w:bookmarkEnd w:id="976"/>
      <w:bookmarkEnd w:id="977"/>
      <w:bookmarkEnd w:id="978"/>
      <w:bookmarkEnd w:id="979"/>
    </w:p>
    <w:p w14:paraId="2DE731A0">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beforeAutospacing="0" w:after="0" w:afterAutospacing="0" w:line="360" w:lineRule="auto"/>
        <w:ind w:left="0" w:leftChars="0" w:firstLine="420" w:firstLineChars="200"/>
        <w:jc w:val="both"/>
        <w:textAlignment w:val="auto"/>
        <w:rPr>
          <w:rFonts w:hint="eastAsia" w:ascii="宋体" w:hAnsi="宋体" w:eastAsia="宋体" w:cs="宋体"/>
          <w:color w:val="auto"/>
          <w:kern w:val="0"/>
          <w:sz w:val="21"/>
          <w:szCs w:val="21"/>
          <w:highlight w:val="none"/>
          <w:lang w:val="en-US" w:eastAsia="zh-CN" w:bidi="ar-SA"/>
        </w:rPr>
      </w:pPr>
      <w:bookmarkStart w:id="980" w:name="_Toc11279"/>
      <w:bookmarkStart w:id="981" w:name="_Toc6453"/>
      <w:bookmarkStart w:id="982" w:name="_Toc15363"/>
      <w:r>
        <w:rPr>
          <w:rFonts w:hint="eastAsia" w:ascii="宋体" w:hAnsi="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CN" w:bidi="ar-SA"/>
        </w:rPr>
        <w:t>1）</w:t>
      </w:r>
      <w:bookmarkEnd w:id="980"/>
      <w:bookmarkEnd w:id="981"/>
      <w:r>
        <w:rPr>
          <w:rFonts w:hint="eastAsia" w:ascii="宋体" w:hAnsi="宋体" w:eastAsia="宋体" w:cs="宋体"/>
          <w:b w:val="0"/>
          <w:bCs w:val="0"/>
          <w:color w:val="auto"/>
          <w:kern w:val="0"/>
          <w:sz w:val="21"/>
          <w:szCs w:val="21"/>
          <w:highlight w:val="none"/>
          <w:lang w:val="en-US" w:eastAsia="zh-CN" w:bidi="ar-SA"/>
        </w:rPr>
        <w:t>参选人必须达到前述</w:t>
      </w:r>
      <w:r>
        <w:rPr>
          <w:rFonts w:hint="eastAsia" w:ascii="宋体" w:hAnsi="宋体" w:cs="宋体"/>
          <w:b w:val="0"/>
          <w:bCs w:val="0"/>
          <w:color w:val="auto"/>
          <w:kern w:val="0"/>
          <w:sz w:val="21"/>
          <w:szCs w:val="21"/>
          <w:highlight w:val="none"/>
          <w:lang w:val="en-US" w:eastAsia="zh-CN" w:bidi="ar-SA"/>
        </w:rPr>
        <w:t>（“（二）其他服务要求”序号1至12条款）</w:t>
      </w:r>
      <w:r>
        <w:rPr>
          <w:rFonts w:hint="eastAsia" w:ascii="宋体" w:hAnsi="宋体" w:eastAsia="宋体" w:cs="宋体"/>
          <w:b w:val="0"/>
          <w:bCs w:val="0"/>
          <w:color w:val="auto"/>
          <w:kern w:val="0"/>
          <w:sz w:val="21"/>
          <w:szCs w:val="21"/>
          <w:highlight w:val="none"/>
          <w:lang w:val="en-US" w:eastAsia="zh-CN" w:bidi="ar-SA"/>
        </w:rPr>
        <w:t>的安全目标要求</w:t>
      </w:r>
      <w:r>
        <w:rPr>
          <w:rFonts w:hint="eastAsia" w:ascii="宋体" w:hAnsi="宋体" w:cs="宋体"/>
          <w:b w:val="0"/>
          <w:bCs w:val="0"/>
          <w:color w:val="auto"/>
          <w:kern w:val="0"/>
          <w:sz w:val="21"/>
          <w:szCs w:val="21"/>
          <w:highlight w:val="none"/>
          <w:lang w:val="en-US" w:eastAsia="zh-CN" w:bidi="ar-SA"/>
        </w:rPr>
        <w:t>。</w:t>
      </w:r>
      <w:bookmarkEnd w:id="982"/>
    </w:p>
    <w:p w14:paraId="777C2AAE">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bookmarkStart w:id="983" w:name="_Toc24042"/>
      <w:bookmarkStart w:id="984" w:name="_Toc24728"/>
      <w:bookmarkStart w:id="985" w:name="_Toc26359"/>
      <w:r>
        <w:rPr>
          <w:rFonts w:hint="eastAsia" w:ascii="宋体" w:hAnsi="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CN" w:bidi="ar-SA"/>
        </w:rPr>
        <w:t>2）参选人应分别设有专门的组织机构、组织措施、及奖惩制度，并配备专职负责人员及管理人员，现场配备必要的安全、文明设施。</w:t>
      </w:r>
      <w:bookmarkEnd w:id="983"/>
      <w:bookmarkEnd w:id="984"/>
      <w:bookmarkEnd w:id="985"/>
    </w:p>
    <w:p w14:paraId="38F08E72">
      <w:pPr>
        <w:keepNext w:val="0"/>
        <w:keepLines w:val="0"/>
        <w:pageBreakBefore w:val="0"/>
        <w:widowControl w:val="0"/>
        <w:kinsoku/>
        <w:wordWrap/>
        <w:overflowPunct/>
        <w:topLinePunct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文明作业，作业中无吵杂声、不干扰医务人员和就医人员、无二次污染现象；清运途中无超载、超速、漏撒和明显扬尘现象。</w:t>
      </w:r>
    </w:p>
    <w:p w14:paraId="0D8BFF51">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r>
        <w:rPr>
          <w:rFonts w:hint="eastAsia" w:ascii="宋体" w:hAnsi="宋体" w:eastAsia="宋体" w:cs="宋体"/>
          <w:color w:val="auto"/>
          <w:kern w:val="0"/>
          <w:sz w:val="21"/>
          <w:szCs w:val="21"/>
          <w:highlight w:val="none"/>
          <w:lang w:val="en-US" w:eastAsia="zh-CN" w:bidi="ar-SA"/>
        </w:rPr>
        <w:t>参选人应当根据服务需要定期对应急人员及车辆驾驶员进行法律、城市管理业务知识、垃圾分类知识、安全防范专业知识和技能培训。</w:t>
      </w:r>
    </w:p>
    <w:p w14:paraId="36E5D79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服务车辆定期维修、保养，确保车辆车况良好，外观整洁。</w:t>
      </w:r>
    </w:p>
    <w:p w14:paraId="0A7D2DC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b/>
          <w:color w:val="auto"/>
          <w:kern w:val="0"/>
          <w:sz w:val="21"/>
          <w:szCs w:val="21"/>
          <w:highlight w:val="none"/>
        </w:rPr>
      </w:pPr>
      <w:r>
        <w:rPr>
          <w:rFonts w:hint="eastAsia" w:ascii="宋体" w:hAnsi="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lang w:val="en-US" w:eastAsia="zh-CN" w:bidi="ar-SA"/>
        </w:rPr>
        <w:t>按照广州市、属地区和街道的废弃物分类工作要求，做好废弃物分类运输工作。</w:t>
      </w:r>
      <w:bookmarkStart w:id="986" w:name="_Toc521421195"/>
    </w:p>
    <w:p w14:paraId="74AB3D3C">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2" w:firstLineChars="200"/>
        <w:jc w:val="both"/>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14</w:t>
      </w:r>
      <w:r>
        <w:rPr>
          <w:rFonts w:hint="eastAsia" w:ascii="宋体" w:hAnsi="宋体" w:eastAsia="宋体" w:cs="宋体"/>
          <w:b/>
          <w:color w:val="auto"/>
          <w:kern w:val="0"/>
          <w:sz w:val="21"/>
          <w:szCs w:val="21"/>
          <w:highlight w:val="none"/>
        </w:rPr>
        <w:t>、质量要求</w:t>
      </w:r>
      <w:bookmarkEnd w:id="986"/>
    </w:p>
    <w:p w14:paraId="37E9F17C">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（1）</w:t>
      </w:r>
      <w:r>
        <w:rPr>
          <w:rFonts w:hint="eastAsia" w:ascii="宋体" w:hAnsi="宋体" w:eastAsia="宋体" w:cs="宋体"/>
          <w:color w:val="auto"/>
          <w:kern w:val="0"/>
          <w:sz w:val="21"/>
          <w:szCs w:val="21"/>
          <w:highlight w:val="none"/>
          <w:lang w:val="en-US" w:eastAsia="zh-CN" w:bidi="ar-SA"/>
        </w:rPr>
        <w:t>参选人守法经营，严禁偷倒、乱倒废弃物，严防产生二次污染、破坏环境的非法行为。</w:t>
      </w:r>
    </w:p>
    <w:p w14:paraId="3B268AC8">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（2）</w:t>
      </w:r>
      <w:r>
        <w:rPr>
          <w:rFonts w:hint="eastAsia" w:ascii="宋体" w:hAnsi="宋体" w:eastAsia="宋体" w:cs="宋体"/>
          <w:color w:val="auto"/>
          <w:kern w:val="0"/>
          <w:sz w:val="21"/>
          <w:szCs w:val="21"/>
          <w:highlight w:val="none"/>
          <w:lang w:val="en-US" w:eastAsia="zh-CN" w:bidi="ar-SA"/>
        </w:rPr>
        <w:t>参选人自行制定可行、最短的合理路线，</w:t>
      </w:r>
      <w:r>
        <w:rPr>
          <w:rFonts w:hint="eastAsia" w:ascii="瀹嬩綋" w:hAnsi="瀹嬩綋" w:eastAsia="瀹嬩綋" w:cs="瀹嬩綋"/>
          <w:color w:val="auto"/>
          <w:kern w:val="2"/>
          <w:sz w:val="21"/>
          <w:szCs w:val="21"/>
          <w:highlight w:val="none"/>
          <w:shd w:val="clear" w:fill="FFFFFF"/>
          <w:lang w:val="en-US" w:eastAsia="zh-CN" w:bidi="ar"/>
        </w:rPr>
        <w:t>将收集的城市生活垃圾运到人民政府建设（环境卫生）主管部门认可的处置场所</w:t>
      </w:r>
      <w:r>
        <w:rPr>
          <w:rFonts w:hint="eastAsia" w:ascii="宋体" w:hAnsi="宋体" w:eastAsia="宋体" w:cs="宋体"/>
          <w:color w:val="auto"/>
          <w:kern w:val="0"/>
          <w:sz w:val="21"/>
          <w:szCs w:val="21"/>
          <w:highlight w:val="none"/>
          <w:lang w:val="en-US" w:eastAsia="zh-CN" w:bidi="ar-SA"/>
        </w:rPr>
        <w:t>。所有垃圾必须合法合规处理。</w:t>
      </w:r>
    </w:p>
    <w:p w14:paraId="01285462">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2" w:firstLineChars="200"/>
        <w:jc w:val="both"/>
        <w:textAlignment w:val="auto"/>
        <w:rPr>
          <w:rFonts w:hint="eastAsia" w:ascii="宋体" w:hAnsi="宋体" w:eastAsia="宋体" w:cs="宋体"/>
          <w:b/>
          <w:color w:val="auto"/>
          <w:sz w:val="21"/>
          <w:szCs w:val="21"/>
          <w:highlight w:val="none"/>
        </w:rPr>
      </w:pPr>
    </w:p>
    <w:p w14:paraId="2BC5AE46">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22" w:firstLineChars="20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cs="宋体"/>
          <w:b/>
          <w:bCs/>
          <w:color w:val="auto"/>
          <w:sz w:val="21"/>
          <w:szCs w:val="21"/>
          <w:highlight w:val="none"/>
        </w:rPr>
        <w:t>★</w:t>
      </w:r>
      <w:r>
        <w:rPr>
          <w:rFonts w:hint="eastAsia" w:ascii="宋体" w:hAnsi="宋体" w:eastAsia="宋体" w:cs="宋体"/>
          <w:b/>
          <w:bCs/>
          <w:color w:val="auto"/>
          <w:spacing w:val="3"/>
          <w:sz w:val="21"/>
          <w:szCs w:val="21"/>
          <w:highlight w:val="none"/>
          <w:lang w:val="en-US" w:eastAsia="zh-CN"/>
        </w:rPr>
        <w:t>三、验收要求</w:t>
      </w:r>
    </w:p>
    <w:p w14:paraId="125C9667">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36" w:firstLineChars="20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cs="宋体"/>
          <w:color w:val="auto"/>
          <w:spacing w:val="4"/>
          <w:sz w:val="21"/>
          <w:szCs w:val="21"/>
          <w:highlight w:val="none"/>
          <w:lang w:val="en-US" w:eastAsia="zh-CN"/>
        </w:rPr>
        <w:t>（1）</w:t>
      </w:r>
      <w:r>
        <w:rPr>
          <w:rFonts w:hint="eastAsia" w:ascii="宋体" w:hAnsi="宋体" w:eastAsia="宋体" w:cs="宋体"/>
          <w:color w:val="auto"/>
          <w:spacing w:val="4"/>
          <w:sz w:val="21"/>
          <w:szCs w:val="21"/>
          <w:highlight w:val="none"/>
          <w:lang w:val="en-US" w:eastAsia="zh-CN"/>
        </w:rPr>
        <w:t>项目管理和服务月度质量满意度考评：从病人满意度、使用科室满意度、院级主管人员满意度三个维度对服务质量检查进行综合考评，综合考评分≥90分为合格，</w:t>
      </w:r>
      <w:r>
        <w:rPr>
          <w:rFonts w:hint="eastAsia" w:ascii="宋体" w:hAnsi="宋体" w:cs="宋体"/>
          <w:color w:val="auto"/>
          <w:spacing w:val="4"/>
          <w:sz w:val="21"/>
          <w:szCs w:val="21"/>
          <w:highlight w:val="none"/>
          <w:lang w:val="en-US" w:eastAsia="zh-CN"/>
        </w:rPr>
        <w:t>＜</w:t>
      </w:r>
      <w:r>
        <w:rPr>
          <w:rFonts w:hint="eastAsia" w:ascii="宋体" w:hAnsi="宋体" w:eastAsia="宋体" w:cs="宋体"/>
          <w:color w:val="auto"/>
          <w:spacing w:val="4"/>
          <w:sz w:val="21"/>
          <w:szCs w:val="21"/>
          <w:highlight w:val="none"/>
          <w:lang w:val="en-US" w:eastAsia="zh-CN"/>
        </w:rPr>
        <w:t>90分的为不合格，低于90分每下降1分扣罚当月服务费2000元。</w:t>
      </w:r>
    </w:p>
    <w:p w14:paraId="3884C903">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32" w:firstLineChars="20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val="en-US" w:eastAsia="zh-CN"/>
        </w:rPr>
        <w:t>同一个月内</w:t>
      </w:r>
      <w:r>
        <w:rPr>
          <w:rFonts w:hint="eastAsia" w:ascii="宋体" w:hAnsi="宋体" w:eastAsia="宋体" w:cs="宋体"/>
          <w:color w:val="auto"/>
          <w:spacing w:val="4"/>
          <w:sz w:val="21"/>
          <w:szCs w:val="21"/>
          <w:highlight w:val="none"/>
          <w:lang w:val="en-US" w:eastAsia="zh-CN"/>
        </w:rPr>
        <w:t>出现两次达不到采购人服务要求的，或连续三个月满意度均低于90分，或一年内累计有4个月满意度均低于90分，</w:t>
      </w:r>
      <w:r>
        <w:rPr>
          <w:rFonts w:hint="eastAsia" w:ascii="宋体" w:hAnsi="宋体" w:cs="宋体"/>
          <w:color w:val="auto"/>
          <w:spacing w:val="4"/>
          <w:sz w:val="21"/>
          <w:szCs w:val="21"/>
          <w:highlight w:val="none"/>
          <w:lang w:val="en-US" w:eastAsia="zh-CN"/>
        </w:rPr>
        <w:t>采购人</w:t>
      </w:r>
      <w:r>
        <w:rPr>
          <w:rFonts w:hint="eastAsia" w:ascii="宋体" w:hAnsi="宋体" w:eastAsia="宋体" w:cs="宋体"/>
          <w:color w:val="auto"/>
          <w:spacing w:val="4"/>
          <w:sz w:val="21"/>
          <w:szCs w:val="21"/>
          <w:highlight w:val="none"/>
          <w:lang w:val="en-US" w:eastAsia="zh-CN"/>
        </w:rPr>
        <w:t>有权解除合同</w:t>
      </w:r>
      <w:r>
        <w:rPr>
          <w:rFonts w:hint="eastAsia" w:ascii="宋体" w:hAnsi="宋体" w:cs="宋体"/>
          <w:color w:val="auto"/>
          <w:spacing w:val="4"/>
          <w:sz w:val="21"/>
          <w:szCs w:val="21"/>
          <w:highlight w:val="none"/>
          <w:lang w:val="en-US" w:eastAsia="zh-CN"/>
        </w:rPr>
        <w:t>，</w:t>
      </w:r>
      <w:r>
        <w:rPr>
          <w:rFonts w:hint="eastAsia" w:ascii="宋体" w:hAnsi="宋体" w:eastAsia="宋体" w:cs="宋体"/>
          <w:color w:val="auto"/>
          <w:spacing w:val="4"/>
          <w:sz w:val="21"/>
          <w:szCs w:val="21"/>
          <w:highlight w:val="none"/>
          <w:lang w:val="en-US" w:eastAsia="zh-CN"/>
        </w:rPr>
        <w:t>违约责任由参选人负责，由此造成的一切损失均由参选人负责。</w:t>
      </w:r>
    </w:p>
    <w:p w14:paraId="4AEE64B3">
      <w:pPr>
        <w:pStyle w:val="48"/>
        <w:keepNext w:val="0"/>
        <w:keepLines w:val="0"/>
        <w:pageBreakBefore w:val="0"/>
        <w:kinsoku/>
        <w:wordWrap/>
        <w:overflowPunct/>
        <w:topLinePunct w:val="0"/>
        <w:autoSpaceDE/>
        <w:autoSpaceDN/>
        <w:bidi w:val="0"/>
        <w:adjustRightInd/>
        <w:snapToGrid/>
        <w:spacing w:line="360" w:lineRule="auto"/>
        <w:ind w:left="0" w:firstLine="422" w:firstLineChars="200"/>
        <w:jc w:val="both"/>
        <w:textAlignment w:val="auto"/>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3</w:t>
      </w:r>
      <w:r>
        <w:rPr>
          <w:rFonts w:hint="eastAsia" w:ascii="宋体" w:hAnsi="宋体" w:cs="宋体"/>
          <w:b/>
          <w:color w:val="auto"/>
          <w:sz w:val="21"/>
          <w:szCs w:val="21"/>
          <w:highlight w:val="none"/>
          <w:lang w:eastAsia="zh-CN"/>
        </w:rPr>
        <w:t>）</w:t>
      </w:r>
      <w:r>
        <w:rPr>
          <w:rFonts w:hint="eastAsia" w:ascii="宋体" w:hAnsi="宋体" w:eastAsia="宋体" w:cs="宋体"/>
          <w:b/>
          <w:color w:val="auto"/>
          <w:sz w:val="21"/>
          <w:szCs w:val="21"/>
          <w:highlight w:val="none"/>
        </w:rPr>
        <w:t>验收、履约考评标准：总分100分，考评通过《服务满意度评分表》进行综合考评。</w:t>
      </w:r>
    </w:p>
    <w:tbl>
      <w:tblPr>
        <w:tblStyle w:val="24"/>
        <w:tblW w:w="494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0"/>
        <w:gridCol w:w="1412"/>
        <w:gridCol w:w="510"/>
        <w:gridCol w:w="3899"/>
        <w:gridCol w:w="799"/>
        <w:gridCol w:w="612"/>
        <w:gridCol w:w="851"/>
      </w:tblGrid>
      <w:tr w14:paraId="466EC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000" w:type="pct"/>
            <w:gridSpan w:val="7"/>
            <w:tcBorders>
              <w:tl2br w:val="nil"/>
              <w:tr2bl w:val="nil"/>
            </w:tcBorders>
            <w:noWrap w:val="0"/>
            <w:vAlign w:val="center"/>
          </w:tcPr>
          <w:p w14:paraId="2ED705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服务满意度评分表（2026年版）</w:t>
            </w:r>
            <w:r>
              <w:rPr>
                <w:rFonts w:hint="eastAsia" w:ascii="宋体" w:hAnsi="宋体" w:eastAsia="宋体" w:cs="宋体"/>
                <w:b/>
                <w:bCs/>
                <w:i w:val="0"/>
                <w:iCs w:val="0"/>
                <w:color w:val="auto"/>
                <w:kern w:val="0"/>
                <w:sz w:val="21"/>
                <w:szCs w:val="21"/>
                <w:highlight w:val="none"/>
                <w:u w:val="none"/>
                <w:lang w:val="en-US" w:eastAsia="zh-CN" w:bidi="ar"/>
              </w:rPr>
              <w:br w:type="textWrapping"/>
            </w:r>
            <w:r>
              <w:rPr>
                <w:rStyle w:val="65"/>
                <w:rFonts w:hint="eastAsia" w:ascii="宋体" w:hAnsi="宋体" w:eastAsia="宋体" w:cs="宋体"/>
                <w:color w:val="auto"/>
                <w:sz w:val="21"/>
                <w:szCs w:val="21"/>
                <w:highlight w:val="none"/>
                <w:lang w:val="en-US" w:eastAsia="zh-CN" w:bidi="ar"/>
              </w:rPr>
              <w:t xml:space="preserve">    </w:t>
            </w:r>
            <w:r>
              <w:rPr>
                <w:rStyle w:val="66"/>
                <w:rFonts w:hint="eastAsia" w:ascii="宋体" w:hAnsi="宋体" w:eastAsia="宋体" w:cs="宋体"/>
                <w:color w:val="auto"/>
                <w:sz w:val="21"/>
                <w:szCs w:val="21"/>
                <w:highlight w:val="none"/>
                <w:lang w:val="en-US" w:eastAsia="zh-CN" w:bidi="ar"/>
              </w:rPr>
              <w:t>年</w:t>
            </w:r>
            <w:r>
              <w:rPr>
                <w:rStyle w:val="65"/>
                <w:rFonts w:hint="eastAsia" w:ascii="宋体" w:hAnsi="宋体" w:eastAsia="宋体" w:cs="宋体"/>
                <w:color w:val="auto"/>
                <w:sz w:val="21"/>
                <w:szCs w:val="21"/>
                <w:highlight w:val="none"/>
                <w:lang w:val="en-US" w:eastAsia="zh-CN" w:bidi="ar"/>
              </w:rPr>
              <w:t xml:space="preserve">   </w:t>
            </w:r>
            <w:r>
              <w:rPr>
                <w:rStyle w:val="66"/>
                <w:rFonts w:hint="eastAsia" w:ascii="宋体" w:hAnsi="宋体" w:eastAsia="宋体" w:cs="宋体"/>
                <w:color w:val="auto"/>
                <w:sz w:val="21"/>
                <w:szCs w:val="21"/>
                <w:highlight w:val="none"/>
                <w:lang w:val="en-US" w:eastAsia="zh-CN" w:bidi="ar"/>
              </w:rPr>
              <w:t>月</w:t>
            </w:r>
          </w:p>
        </w:tc>
      </w:tr>
      <w:tr w14:paraId="3DF45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439" w:type="pct"/>
            <w:gridSpan w:val="3"/>
            <w:tcBorders>
              <w:tl2br w:val="nil"/>
              <w:tr2bl w:val="nil"/>
            </w:tcBorders>
            <w:noWrap/>
            <w:vAlign w:val="center"/>
          </w:tcPr>
          <w:p w14:paraId="46F11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院区：</w:t>
            </w:r>
          </w:p>
        </w:tc>
        <w:tc>
          <w:tcPr>
            <w:tcW w:w="2252" w:type="pct"/>
            <w:tcBorders>
              <w:tl2br w:val="nil"/>
              <w:tr2bl w:val="nil"/>
            </w:tcBorders>
            <w:noWrap/>
            <w:vAlign w:val="center"/>
          </w:tcPr>
          <w:p w14:paraId="33478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评分人签名：</w:t>
            </w:r>
          </w:p>
        </w:tc>
        <w:tc>
          <w:tcPr>
            <w:tcW w:w="1307" w:type="pct"/>
            <w:gridSpan w:val="3"/>
            <w:tcBorders>
              <w:tl2br w:val="nil"/>
              <w:tr2bl w:val="nil"/>
            </w:tcBorders>
            <w:noWrap/>
            <w:vAlign w:val="center"/>
          </w:tcPr>
          <w:p w14:paraId="0BB4C1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填表时间： 年 月  日</w:t>
            </w:r>
          </w:p>
        </w:tc>
      </w:tr>
      <w:tr w14:paraId="09FAF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29" w:type="pct"/>
            <w:tcBorders>
              <w:tl2br w:val="nil"/>
              <w:tr2bl w:val="nil"/>
            </w:tcBorders>
            <w:noWrap w:val="0"/>
            <w:vAlign w:val="center"/>
          </w:tcPr>
          <w:p w14:paraId="02E8B2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方向</w:t>
            </w:r>
          </w:p>
        </w:tc>
        <w:tc>
          <w:tcPr>
            <w:tcW w:w="815" w:type="pct"/>
            <w:tcBorders>
              <w:tl2br w:val="nil"/>
              <w:tr2bl w:val="nil"/>
            </w:tcBorders>
            <w:noWrap w:val="0"/>
            <w:vAlign w:val="center"/>
          </w:tcPr>
          <w:p w14:paraId="5A3F65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w:t>
            </w:r>
          </w:p>
        </w:tc>
        <w:tc>
          <w:tcPr>
            <w:tcW w:w="294" w:type="pct"/>
            <w:tcBorders>
              <w:tl2br w:val="nil"/>
              <w:tr2bl w:val="nil"/>
            </w:tcBorders>
            <w:noWrap w:val="0"/>
            <w:vAlign w:val="center"/>
          </w:tcPr>
          <w:p w14:paraId="7C1D54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2252" w:type="pct"/>
            <w:tcBorders>
              <w:tl2br w:val="nil"/>
              <w:tr2bl w:val="nil"/>
            </w:tcBorders>
            <w:noWrap w:val="0"/>
            <w:vAlign w:val="center"/>
          </w:tcPr>
          <w:p w14:paraId="0C641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评分细则</w:t>
            </w:r>
          </w:p>
        </w:tc>
        <w:tc>
          <w:tcPr>
            <w:tcW w:w="461" w:type="pct"/>
            <w:tcBorders>
              <w:tl2br w:val="nil"/>
              <w:tr2bl w:val="nil"/>
            </w:tcBorders>
            <w:noWrap w:val="0"/>
            <w:vAlign w:val="center"/>
          </w:tcPr>
          <w:p w14:paraId="4AAFD1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分值</w:t>
            </w:r>
          </w:p>
        </w:tc>
        <w:tc>
          <w:tcPr>
            <w:tcW w:w="353" w:type="pct"/>
            <w:tcBorders>
              <w:tl2br w:val="nil"/>
              <w:tr2bl w:val="nil"/>
            </w:tcBorders>
            <w:noWrap w:val="0"/>
            <w:vAlign w:val="center"/>
          </w:tcPr>
          <w:p w14:paraId="4FB1EC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扣分</w:t>
            </w:r>
          </w:p>
        </w:tc>
        <w:tc>
          <w:tcPr>
            <w:tcW w:w="491" w:type="pct"/>
            <w:tcBorders>
              <w:tl2br w:val="nil"/>
              <w:tr2bl w:val="nil"/>
            </w:tcBorders>
            <w:noWrap w:val="0"/>
            <w:vAlign w:val="center"/>
          </w:tcPr>
          <w:p w14:paraId="5023A0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扣分原因</w:t>
            </w:r>
          </w:p>
        </w:tc>
      </w:tr>
      <w:tr w14:paraId="3FAA0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329" w:type="pct"/>
            <w:vMerge w:val="restart"/>
            <w:tcBorders>
              <w:tl2br w:val="nil"/>
              <w:tr2bl w:val="nil"/>
            </w:tcBorders>
            <w:noWrap/>
            <w:textDirection w:val="tbRlV"/>
            <w:vAlign w:val="center"/>
          </w:tcPr>
          <w:p w14:paraId="1711CB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管理方面（30分）</w:t>
            </w:r>
          </w:p>
        </w:tc>
        <w:tc>
          <w:tcPr>
            <w:tcW w:w="815" w:type="pct"/>
            <w:tcBorders>
              <w:tl2br w:val="nil"/>
              <w:tr2bl w:val="nil"/>
            </w:tcBorders>
            <w:noWrap w:val="0"/>
            <w:vAlign w:val="center"/>
          </w:tcPr>
          <w:p w14:paraId="4419EB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仪态仪表</w:t>
            </w:r>
          </w:p>
        </w:tc>
        <w:tc>
          <w:tcPr>
            <w:tcW w:w="294" w:type="pct"/>
            <w:tcBorders>
              <w:tl2br w:val="nil"/>
              <w:tr2bl w:val="nil"/>
            </w:tcBorders>
            <w:noWrap w:val="0"/>
            <w:vAlign w:val="center"/>
          </w:tcPr>
          <w:p w14:paraId="4363DA63">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2252" w:type="pct"/>
            <w:tcBorders>
              <w:tl2br w:val="nil"/>
              <w:tr2bl w:val="nil"/>
            </w:tcBorders>
            <w:noWrap w:val="0"/>
            <w:vAlign w:val="center"/>
          </w:tcPr>
          <w:p w14:paraId="58651DFC">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工作人员穿统一工装，佩戴工作证</w:t>
            </w:r>
          </w:p>
        </w:tc>
        <w:tc>
          <w:tcPr>
            <w:tcW w:w="461" w:type="pct"/>
            <w:vMerge w:val="restart"/>
            <w:tcBorders>
              <w:tl2br w:val="nil"/>
              <w:tr2bl w:val="nil"/>
            </w:tcBorders>
            <w:noWrap w:val="0"/>
            <w:vAlign w:val="center"/>
          </w:tcPr>
          <w:p w14:paraId="2C0418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每有一项不达标，扣3分</w:t>
            </w:r>
          </w:p>
        </w:tc>
        <w:tc>
          <w:tcPr>
            <w:tcW w:w="353" w:type="pct"/>
            <w:vMerge w:val="restart"/>
            <w:tcBorders>
              <w:tl2br w:val="nil"/>
              <w:tr2bl w:val="nil"/>
            </w:tcBorders>
            <w:noWrap w:val="0"/>
            <w:vAlign w:val="center"/>
          </w:tcPr>
          <w:p w14:paraId="4087C5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restart"/>
            <w:tcBorders>
              <w:tl2br w:val="nil"/>
              <w:tr2bl w:val="nil"/>
            </w:tcBorders>
            <w:noWrap w:val="0"/>
            <w:vAlign w:val="center"/>
          </w:tcPr>
          <w:p w14:paraId="09CCA9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CF3B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trPr>
        <w:tc>
          <w:tcPr>
            <w:tcW w:w="329" w:type="pct"/>
            <w:vMerge w:val="continue"/>
            <w:tcBorders>
              <w:tl2br w:val="nil"/>
              <w:tr2bl w:val="nil"/>
            </w:tcBorders>
            <w:noWrap/>
            <w:textDirection w:val="tbRlV"/>
            <w:vAlign w:val="center"/>
          </w:tcPr>
          <w:p w14:paraId="6C1B18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restart"/>
            <w:tcBorders>
              <w:tl2br w:val="nil"/>
              <w:tr2bl w:val="nil"/>
            </w:tcBorders>
            <w:noWrap w:val="0"/>
            <w:vAlign w:val="center"/>
          </w:tcPr>
          <w:p w14:paraId="5C33DC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服务态度</w:t>
            </w:r>
          </w:p>
        </w:tc>
        <w:tc>
          <w:tcPr>
            <w:tcW w:w="294" w:type="pct"/>
            <w:tcBorders>
              <w:tl2br w:val="nil"/>
              <w:tr2bl w:val="nil"/>
            </w:tcBorders>
            <w:noWrap w:val="0"/>
            <w:vAlign w:val="center"/>
          </w:tcPr>
          <w:p w14:paraId="39F946F8">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252" w:type="pct"/>
            <w:tcBorders>
              <w:tl2br w:val="nil"/>
              <w:tr2bl w:val="nil"/>
            </w:tcBorders>
            <w:noWrap w:val="0"/>
            <w:vAlign w:val="center"/>
          </w:tcPr>
          <w:p w14:paraId="58CF91AF">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服务态度良好，行为规范，文明礼貌，无相关投诉及抱怨。</w:t>
            </w:r>
          </w:p>
        </w:tc>
        <w:tc>
          <w:tcPr>
            <w:tcW w:w="461" w:type="pct"/>
            <w:vMerge w:val="continue"/>
            <w:tcBorders>
              <w:tl2br w:val="nil"/>
              <w:tr2bl w:val="nil"/>
            </w:tcBorders>
            <w:noWrap w:val="0"/>
            <w:vAlign w:val="center"/>
          </w:tcPr>
          <w:p w14:paraId="72898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3DDE1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389923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4F5C6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trPr>
        <w:tc>
          <w:tcPr>
            <w:tcW w:w="329" w:type="pct"/>
            <w:vMerge w:val="continue"/>
            <w:tcBorders>
              <w:tl2br w:val="nil"/>
              <w:tr2bl w:val="nil"/>
            </w:tcBorders>
            <w:noWrap/>
            <w:textDirection w:val="tbRlV"/>
            <w:vAlign w:val="center"/>
          </w:tcPr>
          <w:p w14:paraId="4E254E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179D11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48D2BFAD">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252" w:type="pct"/>
            <w:tcBorders>
              <w:tl2br w:val="nil"/>
              <w:tr2bl w:val="nil"/>
            </w:tcBorders>
            <w:noWrap w:val="0"/>
            <w:vAlign w:val="center"/>
          </w:tcPr>
          <w:p w14:paraId="15616841">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按时提供服务</w:t>
            </w:r>
          </w:p>
        </w:tc>
        <w:tc>
          <w:tcPr>
            <w:tcW w:w="461" w:type="pct"/>
            <w:vMerge w:val="continue"/>
            <w:tcBorders>
              <w:tl2br w:val="nil"/>
              <w:tr2bl w:val="nil"/>
            </w:tcBorders>
            <w:noWrap w:val="0"/>
            <w:vAlign w:val="center"/>
          </w:tcPr>
          <w:p w14:paraId="50724F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2367D4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774B6F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40642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329" w:type="pct"/>
            <w:vMerge w:val="continue"/>
            <w:tcBorders>
              <w:tl2br w:val="nil"/>
              <w:tr2bl w:val="nil"/>
            </w:tcBorders>
            <w:noWrap/>
            <w:textDirection w:val="tbRlV"/>
            <w:vAlign w:val="center"/>
          </w:tcPr>
          <w:p w14:paraId="525C68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tcBorders>
              <w:tl2br w:val="nil"/>
              <w:tr2bl w:val="nil"/>
            </w:tcBorders>
            <w:noWrap w:val="0"/>
            <w:vAlign w:val="center"/>
          </w:tcPr>
          <w:p w14:paraId="65CD2D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人员安排</w:t>
            </w:r>
          </w:p>
        </w:tc>
        <w:tc>
          <w:tcPr>
            <w:tcW w:w="294" w:type="pct"/>
            <w:tcBorders>
              <w:tl2br w:val="nil"/>
              <w:tr2bl w:val="nil"/>
            </w:tcBorders>
            <w:noWrap w:val="0"/>
            <w:vAlign w:val="center"/>
          </w:tcPr>
          <w:p w14:paraId="7A20A037">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252" w:type="pct"/>
            <w:tcBorders>
              <w:tl2br w:val="nil"/>
              <w:tr2bl w:val="nil"/>
            </w:tcBorders>
            <w:noWrap w:val="0"/>
            <w:vAlign w:val="center"/>
          </w:tcPr>
          <w:p w14:paraId="1FEFD104">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员工队伍稳定，能按要求配置相关人员，出现空缺时，能及时补充。</w:t>
            </w:r>
          </w:p>
        </w:tc>
        <w:tc>
          <w:tcPr>
            <w:tcW w:w="461" w:type="pct"/>
            <w:vMerge w:val="continue"/>
            <w:tcBorders>
              <w:tl2br w:val="nil"/>
              <w:tr2bl w:val="nil"/>
            </w:tcBorders>
            <w:noWrap w:val="0"/>
            <w:vAlign w:val="center"/>
          </w:tcPr>
          <w:p w14:paraId="065BE7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0C682B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3039DA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D98F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329" w:type="pct"/>
            <w:vMerge w:val="continue"/>
            <w:tcBorders>
              <w:tl2br w:val="nil"/>
              <w:tr2bl w:val="nil"/>
            </w:tcBorders>
            <w:noWrap/>
            <w:textDirection w:val="tbRlV"/>
            <w:vAlign w:val="center"/>
          </w:tcPr>
          <w:p w14:paraId="714A81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tcBorders>
              <w:tl2br w:val="nil"/>
              <w:tr2bl w:val="nil"/>
            </w:tcBorders>
            <w:noWrap w:val="0"/>
            <w:vAlign w:val="center"/>
          </w:tcPr>
          <w:p w14:paraId="13861C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上级单位检查结果</w:t>
            </w:r>
          </w:p>
        </w:tc>
        <w:tc>
          <w:tcPr>
            <w:tcW w:w="294" w:type="pct"/>
            <w:tcBorders>
              <w:tl2br w:val="nil"/>
              <w:tr2bl w:val="nil"/>
            </w:tcBorders>
            <w:noWrap w:val="0"/>
            <w:vAlign w:val="center"/>
          </w:tcPr>
          <w:p w14:paraId="6C5E3602">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252" w:type="pct"/>
            <w:tcBorders>
              <w:tl2br w:val="nil"/>
              <w:tr2bl w:val="nil"/>
            </w:tcBorders>
            <w:noWrap w:val="0"/>
            <w:vAlign w:val="center"/>
          </w:tcPr>
          <w:p w14:paraId="22F73B2F">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配合医院做好各级相关检查工作</w:t>
            </w:r>
          </w:p>
        </w:tc>
        <w:tc>
          <w:tcPr>
            <w:tcW w:w="461" w:type="pct"/>
            <w:vMerge w:val="continue"/>
            <w:tcBorders>
              <w:tl2br w:val="nil"/>
              <w:tr2bl w:val="nil"/>
            </w:tcBorders>
            <w:noWrap w:val="0"/>
            <w:vAlign w:val="center"/>
          </w:tcPr>
          <w:p w14:paraId="53F7A4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DB1B4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6DDD3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E2CC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329" w:type="pct"/>
            <w:vMerge w:val="restart"/>
            <w:tcBorders>
              <w:tl2br w:val="nil"/>
              <w:tr2bl w:val="nil"/>
            </w:tcBorders>
            <w:noWrap/>
            <w:textDirection w:val="tbRlV"/>
            <w:vAlign w:val="center"/>
          </w:tcPr>
          <w:p w14:paraId="638A2A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服务质量方面（70分）</w:t>
            </w:r>
          </w:p>
        </w:tc>
        <w:tc>
          <w:tcPr>
            <w:tcW w:w="815" w:type="pct"/>
            <w:vMerge w:val="restart"/>
            <w:tcBorders>
              <w:tl2br w:val="nil"/>
              <w:tr2bl w:val="nil"/>
            </w:tcBorders>
            <w:noWrap w:val="0"/>
            <w:vAlign w:val="center"/>
          </w:tcPr>
          <w:p w14:paraId="1FCD3E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服务质量</w:t>
            </w:r>
          </w:p>
        </w:tc>
        <w:tc>
          <w:tcPr>
            <w:tcW w:w="294" w:type="pct"/>
            <w:tcBorders>
              <w:tl2br w:val="nil"/>
              <w:tr2bl w:val="nil"/>
            </w:tcBorders>
            <w:noWrap w:val="0"/>
            <w:vAlign w:val="center"/>
          </w:tcPr>
          <w:p w14:paraId="036B8BD0">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252" w:type="pct"/>
            <w:tcBorders>
              <w:tl2br w:val="nil"/>
              <w:tr2bl w:val="nil"/>
            </w:tcBorders>
            <w:noWrap w:val="0"/>
            <w:vAlign w:val="center"/>
          </w:tcPr>
          <w:p w14:paraId="32F014A8">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作业记录表符合要求</w:t>
            </w:r>
          </w:p>
        </w:tc>
        <w:tc>
          <w:tcPr>
            <w:tcW w:w="461" w:type="pct"/>
            <w:vMerge w:val="restart"/>
            <w:tcBorders>
              <w:tl2br w:val="nil"/>
              <w:tr2bl w:val="nil"/>
            </w:tcBorders>
            <w:shd w:val="clear" w:color="auto" w:fill="auto"/>
            <w:noWrap w:val="0"/>
            <w:vAlign w:val="center"/>
          </w:tcPr>
          <w:p w14:paraId="63BF45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每有一项不达标，扣5分</w:t>
            </w:r>
          </w:p>
        </w:tc>
        <w:tc>
          <w:tcPr>
            <w:tcW w:w="353" w:type="pct"/>
            <w:vMerge w:val="restart"/>
            <w:tcBorders>
              <w:tl2br w:val="nil"/>
              <w:tr2bl w:val="nil"/>
            </w:tcBorders>
            <w:shd w:val="clear" w:color="auto" w:fill="auto"/>
            <w:noWrap w:val="0"/>
            <w:vAlign w:val="center"/>
          </w:tcPr>
          <w:p w14:paraId="23A20D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eastAsia="zh-CN" w:bidi="ar-SA"/>
              </w:rPr>
            </w:pPr>
          </w:p>
        </w:tc>
        <w:tc>
          <w:tcPr>
            <w:tcW w:w="491" w:type="pct"/>
            <w:vMerge w:val="restart"/>
            <w:tcBorders>
              <w:tl2br w:val="nil"/>
              <w:tr2bl w:val="nil"/>
            </w:tcBorders>
            <w:noWrap w:val="0"/>
            <w:vAlign w:val="center"/>
          </w:tcPr>
          <w:p w14:paraId="53050C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4D110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trPr>
        <w:tc>
          <w:tcPr>
            <w:tcW w:w="329" w:type="pct"/>
            <w:vMerge w:val="continue"/>
            <w:tcBorders>
              <w:tl2br w:val="nil"/>
              <w:tr2bl w:val="nil"/>
            </w:tcBorders>
            <w:noWrap/>
            <w:textDirection w:val="tbRlV"/>
            <w:vAlign w:val="center"/>
          </w:tcPr>
          <w:p w14:paraId="67314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6CD3F9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47440B83">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252" w:type="pct"/>
            <w:tcBorders>
              <w:tl2br w:val="nil"/>
              <w:tr2bl w:val="nil"/>
            </w:tcBorders>
            <w:noWrap w:val="0"/>
            <w:vAlign w:val="center"/>
          </w:tcPr>
          <w:p w14:paraId="4F1E8137">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作业时间符合要求</w:t>
            </w:r>
          </w:p>
        </w:tc>
        <w:tc>
          <w:tcPr>
            <w:tcW w:w="461" w:type="pct"/>
            <w:vMerge w:val="continue"/>
            <w:tcBorders>
              <w:tl2br w:val="nil"/>
              <w:tr2bl w:val="nil"/>
            </w:tcBorders>
            <w:noWrap w:val="0"/>
            <w:vAlign w:val="center"/>
          </w:tcPr>
          <w:p w14:paraId="4A7836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AEA52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15CD9D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C3BA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329" w:type="pct"/>
            <w:vMerge w:val="continue"/>
            <w:tcBorders>
              <w:tl2br w:val="nil"/>
              <w:tr2bl w:val="nil"/>
            </w:tcBorders>
            <w:noWrap/>
            <w:textDirection w:val="tbRlV"/>
            <w:vAlign w:val="center"/>
          </w:tcPr>
          <w:p w14:paraId="7CA66E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441EAA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27B7FAD4">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252" w:type="pct"/>
            <w:tcBorders>
              <w:tl2br w:val="nil"/>
              <w:tr2bl w:val="nil"/>
            </w:tcBorders>
            <w:noWrap w:val="0"/>
            <w:vAlign w:val="center"/>
          </w:tcPr>
          <w:p w14:paraId="5A95E1FF">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安全作业符合要求</w:t>
            </w:r>
          </w:p>
        </w:tc>
        <w:tc>
          <w:tcPr>
            <w:tcW w:w="461" w:type="pct"/>
            <w:vMerge w:val="continue"/>
            <w:tcBorders>
              <w:tl2br w:val="nil"/>
              <w:tr2bl w:val="nil"/>
            </w:tcBorders>
            <w:noWrap w:val="0"/>
            <w:vAlign w:val="center"/>
          </w:tcPr>
          <w:p w14:paraId="2F66A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29F48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45E9A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2C52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329" w:type="pct"/>
            <w:vMerge w:val="continue"/>
            <w:tcBorders>
              <w:tl2br w:val="nil"/>
              <w:tr2bl w:val="nil"/>
            </w:tcBorders>
            <w:noWrap/>
            <w:textDirection w:val="tbRlV"/>
            <w:vAlign w:val="center"/>
          </w:tcPr>
          <w:p w14:paraId="053C40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76CDE7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57A0FA8C">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252" w:type="pct"/>
            <w:tcBorders>
              <w:tl2br w:val="nil"/>
              <w:tr2bl w:val="nil"/>
            </w:tcBorders>
            <w:noWrap w:val="0"/>
            <w:vAlign w:val="center"/>
          </w:tcPr>
          <w:p w14:paraId="2E1BF5A7">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垃圾收集点卫生整洁，垃圾桶摆放整齐</w:t>
            </w:r>
          </w:p>
        </w:tc>
        <w:tc>
          <w:tcPr>
            <w:tcW w:w="461" w:type="pct"/>
            <w:vMerge w:val="continue"/>
            <w:tcBorders>
              <w:tl2br w:val="nil"/>
              <w:tr2bl w:val="nil"/>
            </w:tcBorders>
            <w:noWrap w:val="0"/>
            <w:vAlign w:val="center"/>
          </w:tcPr>
          <w:p w14:paraId="6650BF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3DC334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10F8B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48420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rPr>
        <w:tc>
          <w:tcPr>
            <w:tcW w:w="329" w:type="pct"/>
            <w:vMerge w:val="continue"/>
            <w:tcBorders>
              <w:tl2br w:val="nil"/>
              <w:tr2bl w:val="nil"/>
            </w:tcBorders>
            <w:noWrap/>
            <w:textDirection w:val="tbRlV"/>
            <w:vAlign w:val="center"/>
          </w:tcPr>
          <w:p w14:paraId="47F09E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0FA98E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6698D2F2">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252" w:type="pct"/>
            <w:tcBorders>
              <w:tl2br w:val="nil"/>
              <w:tr2bl w:val="nil"/>
            </w:tcBorders>
            <w:noWrap w:val="0"/>
            <w:vAlign w:val="center"/>
          </w:tcPr>
          <w:p w14:paraId="365D93A5">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中转站内的日常卫生清洁工作和管理，场内卫生整齐、干净</w:t>
            </w:r>
          </w:p>
        </w:tc>
        <w:tc>
          <w:tcPr>
            <w:tcW w:w="461" w:type="pct"/>
            <w:vMerge w:val="continue"/>
            <w:tcBorders>
              <w:tl2br w:val="nil"/>
              <w:tr2bl w:val="nil"/>
            </w:tcBorders>
            <w:noWrap w:val="0"/>
            <w:vAlign w:val="center"/>
          </w:tcPr>
          <w:p w14:paraId="3E201A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326AB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D6464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1322F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1" w:hRule="atLeast"/>
        </w:trPr>
        <w:tc>
          <w:tcPr>
            <w:tcW w:w="329" w:type="pct"/>
            <w:vMerge w:val="continue"/>
            <w:tcBorders>
              <w:tl2br w:val="nil"/>
              <w:tr2bl w:val="nil"/>
            </w:tcBorders>
            <w:noWrap/>
            <w:textDirection w:val="tbRlV"/>
            <w:vAlign w:val="center"/>
          </w:tcPr>
          <w:p w14:paraId="4E548D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2EFC62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641D99E8">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2252" w:type="pct"/>
            <w:tcBorders>
              <w:tl2br w:val="nil"/>
              <w:tr2bl w:val="nil"/>
            </w:tcBorders>
            <w:noWrap w:val="0"/>
            <w:vAlign w:val="center"/>
          </w:tcPr>
          <w:p w14:paraId="45E13FAB">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未发生偷倒、乱倒废弃物，二次污染、破坏环境的非法行为</w:t>
            </w:r>
          </w:p>
        </w:tc>
        <w:tc>
          <w:tcPr>
            <w:tcW w:w="461" w:type="pct"/>
            <w:vMerge w:val="continue"/>
            <w:tcBorders>
              <w:tl2br w:val="nil"/>
              <w:tr2bl w:val="nil"/>
            </w:tcBorders>
            <w:noWrap w:val="0"/>
            <w:vAlign w:val="center"/>
          </w:tcPr>
          <w:p w14:paraId="74D4A0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2ED6A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2C034D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2021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329" w:type="pct"/>
            <w:vMerge w:val="continue"/>
            <w:tcBorders>
              <w:tl2br w:val="nil"/>
              <w:tr2bl w:val="nil"/>
            </w:tcBorders>
            <w:noWrap/>
            <w:textDirection w:val="tbRlV"/>
            <w:vAlign w:val="center"/>
          </w:tcPr>
          <w:p w14:paraId="14C0CC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6E36FF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5562A77C">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252" w:type="pct"/>
            <w:tcBorders>
              <w:tl2br w:val="nil"/>
              <w:tr2bl w:val="nil"/>
            </w:tcBorders>
            <w:noWrap w:val="0"/>
            <w:vAlign w:val="center"/>
          </w:tcPr>
          <w:p w14:paraId="6C4E5CB3">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作业车辆无垃圾外露、无残余物外挂、无污水滴漏</w:t>
            </w:r>
          </w:p>
        </w:tc>
        <w:tc>
          <w:tcPr>
            <w:tcW w:w="461" w:type="pct"/>
            <w:vMerge w:val="continue"/>
            <w:tcBorders>
              <w:tl2br w:val="nil"/>
              <w:tr2bl w:val="nil"/>
            </w:tcBorders>
            <w:noWrap w:val="0"/>
            <w:vAlign w:val="center"/>
          </w:tcPr>
          <w:p w14:paraId="68A627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501232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0B44EF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28B48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329" w:type="pct"/>
            <w:vMerge w:val="continue"/>
            <w:tcBorders>
              <w:tl2br w:val="nil"/>
              <w:tr2bl w:val="nil"/>
            </w:tcBorders>
            <w:noWrap/>
            <w:textDirection w:val="tbRlV"/>
            <w:vAlign w:val="center"/>
          </w:tcPr>
          <w:p w14:paraId="4AEA4C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4F2BE8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1C820012">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252" w:type="pct"/>
            <w:tcBorders>
              <w:tl2br w:val="nil"/>
              <w:tr2bl w:val="nil"/>
            </w:tcBorders>
            <w:noWrap w:val="0"/>
            <w:vAlign w:val="center"/>
          </w:tcPr>
          <w:p w14:paraId="5C3FAC17">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废弃物分类符合要求</w:t>
            </w:r>
          </w:p>
        </w:tc>
        <w:tc>
          <w:tcPr>
            <w:tcW w:w="461" w:type="pct"/>
            <w:vMerge w:val="continue"/>
            <w:tcBorders>
              <w:tl2br w:val="nil"/>
              <w:tr2bl w:val="nil"/>
            </w:tcBorders>
            <w:noWrap w:val="0"/>
            <w:vAlign w:val="center"/>
          </w:tcPr>
          <w:p w14:paraId="315DD9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7BB871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477ED1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F4B7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5" w:hRule="atLeast"/>
        </w:trPr>
        <w:tc>
          <w:tcPr>
            <w:tcW w:w="3692" w:type="pct"/>
            <w:gridSpan w:val="4"/>
            <w:tcBorders>
              <w:tl2br w:val="nil"/>
              <w:tr2bl w:val="nil"/>
            </w:tcBorders>
            <w:shd w:val="clear" w:color="auto" w:fill="auto"/>
            <w:noWrap/>
            <w:vAlign w:val="center"/>
          </w:tcPr>
          <w:p w14:paraId="4AABD670">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951" w:firstLineChars="1400"/>
              <w:jc w:val="both"/>
              <w:textAlignment w:val="auto"/>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color w:val="auto"/>
                <w:sz w:val="21"/>
                <w:szCs w:val="21"/>
                <w:highlight w:val="none"/>
                <w:lang w:val="en-US" w:eastAsia="zh-CN"/>
              </w:rPr>
              <w:t>总得分：</w:t>
            </w:r>
          </w:p>
        </w:tc>
        <w:tc>
          <w:tcPr>
            <w:tcW w:w="1307" w:type="pct"/>
            <w:gridSpan w:val="3"/>
            <w:tcBorders>
              <w:tl2br w:val="nil"/>
              <w:tr2bl w:val="nil"/>
            </w:tcBorders>
            <w:shd w:val="clear" w:color="auto" w:fill="A6A6A6"/>
            <w:noWrap/>
            <w:vAlign w:val="center"/>
          </w:tcPr>
          <w:p w14:paraId="2F9D7E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C5CA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5000" w:type="pct"/>
            <w:gridSpan w:val="7"/>
            <w:tcBorders>
              <w:tl2br w:val="nil"/>
              <w:tr2bl w:val="nil"/>
            </w:tcBorders>
            <w:noWrap w:val="0"/>
            <w:vAlign w:val="center"/>
          </w:tcPr>
          <w:p w14:paraId="672795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填表说明：</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1、本表由总务科人员填写。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2、如收到投诉，后勤部核实为有效投诉的，在本表部分扣分，每次3分，上不封顶。</w:t>
            </w:r>
          </w:p>
        </w:tc>
      </w:tr>
    </w:tbl>
    <w:p w14:paraId="3AA4B29D">
      <w:pPr>
        <w:pStyle w:val="48"/>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eastAsia="宋体" w:cs="宋体"/>
          <w:b/>
          <w:color w:val="auto"/>
          <w:sz w:val="21"/>
          <w:szCs w:val="21"/>
          <w:highlight w:val="none"/>
        </w:rPr>
      </w:pPr>
    </w:p>
    <w:p w14:paraId="6F4E95A9">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jc w:val="both"/>
        <w:textAlignment w:val="auto"/>
        <w:outlineLvl w:val="1"/>
        <w:rPr>
          <w:rFonts w:hint="eastAsia" w:ascii="宋体" w:hAnsi="宋体" w:eastAsia="宋体" w:cs="宋体"/>
          <w:strike/>
          <w:color w:val="auto"/>
          <w:spacing w:val="4"/>
          <w:kern w:val="2"/>
          <w:sz w:val="21"/>
          <w:szCs w:val="21"/>
          <w:highlight w:val="none"/>
          <w:lang w:val="en-US" w:eastAsia="zh-CN" w:bidi="ar-SA"/>
        </w:rPr>
      </w:pPr>
      <w:bookmarkStart w:id="987" w:name="_Toc19226"/>
      <w:bookmarkStart w:id="988" w:name="_Toc27128"/>
      <w:bookmarkStart w:id="989" w:name="_Toc1247"/>
      <w:r>
        <w:rPr>
          <w:rFonts w:hint="eastAsia" w:ascii="宋体" w:hAnsi="宋体" w:cs="宋体"/>
          <w:color w:val="auto"/>
          <w:sz w:val="21"/>
          <w:szCs w:val="21"/>
          <w:highlight w:val="none"/>
        </w:rPr>
        <w:t>★</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结算方式与要求</w:t>
      </w:r>
      <w:bookmarkEnd w:id="987"/>
      <w:bookmarkEnd w:id="988"/>
      <w:bookmarkEnd w:id="989"/>
    </w:p>
    <w:p w14:paraId="196B2024">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990" w:name="_Toc15985"/>
      <w:bookmarkStart w:id="991" w:name="_Toc27076"/>
      <w:bookmarkStart w:id="992" w:name="_Toc11006"/>
      <w:r>
        <w:rPr>
          <w:rFonts w:hint="eastAsia" w:ascii="宋体" w:hAnsi="宋体" w:cs="宋体"/>
          <w:color w:val="auto"/>
          <w:spacing w:val="4"/>
          <w:kern w:val="2"/>
          <w:sz w:val="21"/>
          <w:szCs w:val="21"/>
          <w:highlight w:val="none"/>
          <w:lang w:val="en-US" w:eastAsia="zh-CN" w:bidi="ar-SA"/>
        </w:rPr>
        <w:t>1、</w:t>
      </w:r>
      <w:r>
        <w:rPr>
          <w:rFonts w:hint="eastAsia" w:ascii="宋体" w:hAnsi="宋体" w:eastAsia="宋体" w:cs="宋体"/>
          <w:color w:val="auto"/>
          <w:spacing w:val="4"/>
          <w:kern w:val="2"/>
          <w:sz w:val="21"/>
          <w:szCs w:val="21"/>
          <w:highlight w:val="none"/>
          <w:lang w:val="en-US" w:eastAsia="zh-CN" w:bidi="ar-SA"/>
        </w:rPr>
        <w:t>结算方式：采用银行转账。</w:t>
      </w:r>
      <w:bookmarkEnd w:id="990"/>
      <w:bookmarkEnd w:id="991"/>
      <w:bookmarkEnd w:id="992"/>
    </w:p>
    <w:p w14:paraId="05B89EA0">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993" w:name="_Toc18714"/>
      <w:bookmarkStart w:id="994" w:name="_Toc21154"/>
      <w:bookmarkStart w:id="995" w:name="_Toc6718"/>
      <w:r>
        <w:rPr>
          <w:rFonts w:hint="eastAsia" w:ascii="宋体" w:hAnsi="宋体" w:cs="宋体"/>
          <w:color w:val="auto"/>
          <w:spacing w:val="4"/>
          <w:kern w:val="2"/>
          <w:sz w:val="21"/>
          <w:szCs w:val="21"/>
          <w:highlight w:val="none"/>
          <w:lang w:val="en-US" w:eastAsia="zh-CN" w:bidi="ar-SA"/>
        </w:rPr>
        <w:t>2、</w:t>
      </w:r>
      <w:r>
        <w:rPr>
          <w:rFonts w:hint="eastAsia" w:ascii="宋体" w:hAnsi="宋体" w:eastAsia="宋体" w:cs="宋体"/>
          <w:color w:val="auto"/>
          <w:spacing w:val="4"/>
          <w:kern w:val="2"/>
          <w:sz w:val="21"/>
          <w:szCs w:val="21"/>
          <w:highlight w:val="none"/>
          <w:lang w:val="en-US" w:eastAsia="zh-CN" w:bidi="ar-SA"/>
        </w:rPr>
        <w:t>结算要求：</w:t>
      </w:r>
      <w:bookmarkEnd w:id="993"/>
      <w:bookmarkEnd w:id="994"/>
      <w:bookmarkEnd w:id="995"/>
    </w:p>
    <w:p w14:paraId="223032F0">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996" w:name="_Toc27427"/>
      <w:bookmarkStart w:id="997" w:name="_Toc31479"/>
      <w:bookmarkStart w:id="998" w:name="_Toc17459"/>
      <w:r>
        <w:rPr>
          <w:rFonts w:hint="eastAsia" w:ascii="宋体" w:hAnsi="宋体" w:cs="宋体"/>
          <w:color w:val="auto"/>
          <w:spacing w:val="4"/>
          <w:kern w:val="2"/>
          <w:sz w:val="21"/>
          <w:szCs w:val="21"/>
          <w:highlight w:val="none"/>
          <w:lang w:val="en-US" w:eastAsia="zh-CN" w:bidi="ar-SA"/>
        </w:rPr>
        <w:t>（1）</w:t>
      </w:r>
      <w:r>
        <w:rPr>
          <w:rFonts w:hint="eastAsia" w:ascii="宋体" w:hAnsi="宋体" w:eastAsia="宋体" w:cs="宋体"/>
          <w:color w:val="auto"/>
          <w:spacing w:val="4"/>
          <w:kern w:val="2"/>
          <w:sz w:val="21"/>
          <w:szCs w:val="21"/>
          <w:highlight w:val="none"/>
          <w:lang w:val="en-US" w:eastAsia="zh-CN" w:bidi="ar-SA"/>
        </w:rPr>
        <w:t>采购人每月根据项目验收要求，结合每月度质量考评情况，核准参选人当月服务费用，参选人据此开具正式发票。</w:t>
      </w:r>
      <w:bookmarkEnd w:id="996"/>
      <w:bookmarkEnd w:id="997"/>
      <w:bookmarkEnd w:id="998"/>
    </w:p>
    <w:p w14:paraId="4C61DDED">
      <w:pPr>
        <w:pStyle w:val="48"/>
        <w:keepNext w:val="0"/>
        <w:keepLines w:val="0"/>
        <w:pageBreakBefore w:val="0"/>
        <w:kinsoku/>
        <w:wordWrap/>
        <w:overflowPunct/>
        <w:topLinePunct w:val="0"/>
        <w:bidi w:val="0"/>
        <w:adjustRightInd/>
        <w:snapToGrid/>
        <w:spacing w:line="360" w:lineRule="auto"/>
        <w:ind w:firstLine="0"/>
        <w:jc w:val="both"/>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采购人每月结算合同款项，</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人每月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日前向采购人提交结算资料，采购人收到结算资料确认无误后5个工作日内开始办理支付手续。</w:t>
      </w:r>
    </w:p>
    <w:p w14:paraId="4E49A5F8">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999" w:name="_Toc18439"/>
      <w:bookmarkStart w:id="1000" w:name="_Toc29478"/>
      <w:bookmarkStart w:id="1001" w:name="_Toc834"/>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每次结算合同费用，</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人需凭以下资料与采购人结算：</w:t>
      </w:r>
      <w:bookmarkEnd w:id="999"/>
      <w:bookmarkEnd w:id="1000"/>
      <w:bookmarkEnd w:id="1001"/>
    </w:p>
    <w:p w14:paraId="2C67B94C">
      <w:pPr>
        <w:pStyle w:val="48"/>
        <w:keepNext w:val="0"/>
        <w:keepLines w:val="0"/>
        <w:pageBreakBefore w:val="0"/>
        <w:kinsoku/>
        <w:wordWrap/>
        <w:overflowPunct/>
        <w:topLinePunct w:val="0"/>
        <w:bidi w:val="0"/>
        <w:adjustRightInd/>
        <w:snapToGrid/>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eastAsia="zh-CN"/>
        </w:rPr>
        <w:t>首次结算，提供原件</w:t>
      </w:r>
      <w:r>
        <w:rPr>
          <w:rFonts w:hint="eastAsia" w:ascii="宋体" w:hAnsi="宋体" w:eastAsia="宋体" w:cs="宋体"/>
          <w:color w:val="auto"/>
          <w:sz w:val="21"/>
          <w:szCs w:val="21"/>
          <w:highlight w:val="none"/>
        </w:rPr>
        <w:t>）；</w:t>
      </w:r>
    </w:p>
    <w:p w14:paraId="391E848A">
      <w:pPr>
        <w:pStyle w:val="48"/>
        <w:keepNext w:val="0"/>
        <w:keepLines w:val="0"/>
        <w:pageBreakBefore w:val="0"/>
        <w:kinsoku/>
        <w:wordWrap/>
        <w:overflowPunct/>
        <w:topLinePunct w:val="0"/>
        <w:bidi w:val="0"/>
        <w:adjustRightInd/>
        <w:snapToGrid/>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2）中选（成交）</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eastAsia="zh-CN"/>
        </w:rPr>
        <w:t>复印件</w:t>
      </w:r>
      <w:r>
        <w:rPr>
          <w:rFonts w:hint="eastAsia" w:ascii="宋体" w:hAnsi="宋体" w:eastAsia="宋体" w:cs="宋体"/>
          <w:color w:val="auto"/>
          <w:sz w:val="21"/>
          <w:szCs w:val="21"/>
          <w:highlight w:val="none"/>
        </w:rPr>
        <w:t>；</w:t>
      </w:r>
    </w:p>
    <w:p w14:paraId="3D7F801B">
      <w:pPr>
        <w:pStyle w:val="48"/>
        <w:keepNext w:val="0"/>
        <w:keepLines w:val="0"/>
        <w:pageBreakBefore w:val="0"/>
        <w:kinsoku/>
        <w:wordWrap/>
        <w:overflowPunct/>
        <w:topLinePunct w:val="0"/>
        <w:bidi w:val="0"/>
        <w:adjustRightInd/>
        <w:snapToGrid/>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人开具的正式发票</w:t>
      </w:r>
      <w:r>
        <w:rPr>
          <w:rFonts w:hint="eastAsia" w:ascii="宋体" w:hAnsi="宋体" w:eastAsia="宋体" w:cs="宋体"/>
          <w:color w:val="auto"/>
          <w:sz w:val="21"/>
          <w:szCs w:val="21"/>
          <w:highlight w:val="none"/>
          <w:lang w:eastAsia="zh-CN"/>
        </w:rPr>
        <w:t>（开票人及收款信息与合同一致）</w:t>
      </w:r>
      <w:r>
        <w:rPr>
          <w:rFonts w:hint="eastAsia" w:ascii="宋体" w:hAnsi="宋体" w:eastAsia="宋体" w:cs="宋体"/>
          <w:color w:val="auto"/>
          <w:sz w:val="21"/>
          <w:szCs w:val="21"/>
          <w:highlight w:val="none"/>
        </w:rPr>
        <w:t>；</w:t>
      </w:r>
    </w:p>
    <w:p w14:paraId="232A403B">
      <w:pPr>
        <w:keepNext w:val="0"/>
        <w:keepLines w:val="0"/>
        <w:pageBreakBefore w:val="0"/>
        <w:kinsoku/>
        <w:wordWrap/>
        <w:overflowPunct/>
        <w:topLinePunct w:val="0"/>
        <w:bidi w:val="0"/>
        <w:adjustRightInd/>
        <w:snapToGrid/>
        <w:spacing w:line="360" w:lineRule="auto"/>
        <w:ind w:left="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4）</w:t>
      </w:r>
      <w:r>
        <w:rPr>
          <w:rFonts w:hint="eastAsia" w:cs="宋体"/>
          <w:color w:val="auto"/>
          <w:kern w:val="0"/>
          <w:sz w:val="21"/>
          <w:szCs w:val="21"/>
          <w:highlight w:val="none"/>
          <w:lang w:val="en-US" w:eastAsia="zh-CN" w:bidi="ar-SA"/>
        </w:rPr>
        <w:t>作业记录汇总表（作业期限、垃圾数量（单位：桶）、经采购人需求管理部门签名）</w:t>
      </w:r>
      <w:r>
        <w:rPr>
          <w:rFonts w:hint="eastAsia" w:ascii="宋体" w:hAnsi="宋体" w:eastAsia="宋体" w:cs="宋体"/>
          <w:color w:val="auto"/>
          <w:spacing w:val="4"/>
          <w:kern w:val="2"/>
          <w:sz w:val="21"/>
          <w:szCs w:val="21"/>
          <w:highlight w:val="none"/>
          <w:lang w:val="en-US" w:eastAsia="zh-CN" w:bidi="ar-SA"/>
        </w:rPr>
        <w:t>;</w:t>
      </w:r>
    </w:p>
    <w:p w14:paraId="2E7FACD5">
      <w:pPr>
        <w:keepNext w:val="0"/>
        <w:keepLines w:val="0"/>
        <w:pageBreakBefore w:val="0"/>
        <w:numPr>
          <w:ilvl w:val="0"/>
          <w:numId w:val="0"/>
        </w:numPr>
        <w:kinsoku/>
        <w:wordWrap/>
        <w:overflowPunct/>
        <w:topLinePunct w:val="0"/>
        <w:bidi w:val="0"/>
        <w:adjustRightInd/>
        <w:snapToGrid/>
        <w:spacing w:line="360" w:lineRule="auto"/>
        <w:ind w:left="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5）经采购人需求管理部门签名确认的月度质量满意度评分表；</w:t>
      </w:r>
    </w:p>
    <w:p w14:paraId="542B4775">
      <w:pPr>
        <w:keepNext w:val="0"/>
        <w:keepLines w:val="0"/>
        <w:pageBreakBefore w:val="0"/>
        <w:numPr>
          <w:ilvl w:val="0"/>
          <w:numId w:val="0"/>
        </w:numPr>
        <w:kinsoku/>
        <w:wordWrap/>
        <w:overflowPunct/>
        <w:topLinePunct w:val="0"/>
        <w:bidi w:val="0"/>
        <w:adjustRightInd/>
        <w:snapToGrid/>
        <w:spacing w:line="360" w:lineRule="auto"/>
        <w:ind w:left="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6）</w:t>
      </w:r>
      <w:r>
        <w:rPr>
          <w:rFonts w:hint="eastAsia" w:ascii="宋体" w:hAnsi="宋体" w:eastAsia="宋体" w:cs="宋体"/>
          <w:color w:val="auto"/>
          <w:sz w:val="21"/>
          <w:szCs w:val="21"/>
          <w:highlight w:val="none"/>
        </w:rPr>
        <w:t>履约保证金凭证（首次结算提供）</w:t>
      </w:r>
      <w:r>
        <w:rPr>
          <w:rFonts w:hint="eastAsia" w:ascii="宋体" w:hAnsi="宋体" w:eastAsia="宋体" w:cs="宋体"/>
          <w:color w:val="auto"/>
          <w:sz w:val="21"/>
          <w:szCs w:val="21"/>
          <w:highlight w:val="none"/>
          <w:lang w:eastAsia="zh-CN"/>
        </w:rPr>
        <w:t>。</w:t>
      </w:r>
    </w:p>
    <w:p w14:paraId="5BD69CFE">
      <w:pPr>
        <w:keepNext w:val="0"/>
        <w:keepLines w:val="0"/>
        <w:pageBreakBefore w:val="0"/>
        <w:kinsoku/>
        <w:wordWrap/>
        <w:overflowPunct/>
        <w:topLinePunct w:val="0"/>
        <w:bidi w:val="0"/>
        <w:adjustRightInd/>
        <w:snapToGrid/>
        <w:spacing w:line="360" w:lineRule="auto"/>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3、因采购人使用的是财政性资金，采购人在前款规定的付款时间向支付部门提出办理支付申请手续的时间（不含支付部门审核的时间），在规定时间内提出支付申请手续后即视为采购人已经按期支付。</w:t>
      </w:r>
    </w:p>
    <w:p w14:paraId="252208D8">
      <w:pPr>
        <w:keepNext w:val="0"/>
        <w:keepLines w:val="0"/>
        <w:pageBreakBefore w:val="0"/>
        <w:kinsoku/>
        <w:wordWrap/>
        <w:overflowPunct/>
        <w:topLinePunct w:val="0"/>
        <w:autoSpaceDE w:val="0"/>
        <w:autoSpaceDN w:val="0"/>
        <w:bidi w:val="0"/>
        <w:adjustRightInd/>
        <w:snapToGrid/>
        <w:spacing w:line="360" w:lineRule="auto"/>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4、履约保证金：</w:t>
      </w:r>
    </w:p>
    <w:p w14:paraId="304D1E01">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收取：参选人与采购人签订合同后15个工作日内，按合同总金额的5%以银行转账或支票（汇票、本票）或保函（保险）等非现金形式向采购人需求管理部门提交履约保证金【保函（保险）方式提交的，须提供保函（保险）原件交予采购人需求管理部门备案】，同时须保持履约保证金有效期覆盖合同服务期限。若不提交履约保证金或履约保证金在服务期内失效后15个工作日内不向采购人更新提交，采购人有权终止合同，由此产生的一切责任及损失均由参选人承担。</w:t>
      </w:r>
    </w:p>
    <w:p w14:paraId="719A646B">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2）退还：若合同期内参选人没有违约行为，采购人无息退还履约保证金：</w:t>
      </w:r>
    </w:p>
    <w:p w14:paraId="58E626F1">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①以保函（保险）形式提交的履约保证金：在合同期满后或合同终止后30个工作日内自动失效；</w:t>
      </w:r>
    </w:p>
    <w:p w14:paraId="324B5E7E">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②以银行转账或支票（汇票）提交的履约保证金在合同期满后或合同终止后30个工作日内，参选人书面提出退还申请，同时提交采购人开具的履约保证金收据原件，采购人需求管理部门收到退还申请资料后5个工作日内提交采购人支付部门无息退还给参选人；</w:t>
      </w:r>
    </w:p>
    <w:p w14:paraId="6DF82D8B">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③如逾期退还，采购人按每日逾期款总额的1‰向参选人偿付违约金。下列任何一种情况发生时，采购人有权不予退还履约保证金：（一）参选人未完全履行项目响应文件承诺或合同约定的；（二）参选人的原因导致采购人损失的。</w:t>
      </w:r>
    </w:p>
    <w:p w14:paraId="0F5584E2">
      <w:pPr>
        <w:keepNext w:val="0"/>
        <w:keepLines w:val="0"/>
        <w:pageBreakBefore w:val="0"/>
        <w:kinsoku/>
        <w:wordWrap/>
        <w:overflowPunct/>
        <w:topLinePunct w:val="0"/>
        <w:bidi w:val="0"/>
        <w:adjustRightInd/>
        <w:snapToGrid/>
        <w:spacing w:line="360" w:lineRule="auto"/>
        <w:textAlignment w:val="auto"/>
        <w:rPr>
          <w:rFonts w:hint="eastAsia" w:ascii="宋体" w:hAnsi="宋体" w:cs="宋体"/>
          <w:color w:val="auto"/>
          <w:sz w:val="21"/>
          <w:szCs w:val="21"/>
          <w:highlight w:val="none"/>
        </w:rPr>
      </w:pPr>
      <w:r>
        <w:rPr>
          <w:rFonts w:hint="eastAsia" w:ascii="宋体" w:hAnsi="宋体" w:cs="宋体"/>
          <w:color w:val="auto"/>
          <w:kern w:val="2"/>
          <w:sz w:val="21"/>
          <w:szCs w:val="21"/>
          <w:highlight w:val="none"/>
        </w:rPr>
        <w:t>5、参选人如确定以中选（成交）通知书或合同融资的，须书面函告采购人并提供相关资料给采购人备案。合同签订后，参选人原则上不得擅自变更合同中的银行账户信息，确需变更的，参选人须向采购人书面申请，经采购人审核同意后方可变更。变更内容双方应签订合同补充协议。</w:t>
      </w:r>
    </w:p>
    <w:p w14:paraId="14999A97">
      <w:pPr>
        <w:rPr>
          <w:rFonts w:hint="eastAsia" w:ascii="宋体" w:hAnsi="宋体" w:eastAsia="宋体" w:cs="宋体"/>
          <w:color w:val="auto"/>
          <w:spacing w:val="8"/>
          <w:kern w:val="2"/>
          <w:sz w:val="24"/>
          <w:szCs w:val="24"/>
          <w:highlight w:val="none"/>
          <w:lang w:val="en-US" w:eastAsia="en-US" w:bidi="ar-SA"/>
        </w:rPr>
      </w:pPr>
    </w:p>
    <w:p w14:paraId="0D99562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color w:val="auto"/>
          <w:spacing w:val="8"/>
          <w:kern w:val="2"/>
          <w:sz w:val="21"/>
          <w:szCs w:val="21"/>
          <w:highlight w:val="none"/>
          <w:lang w:val="en-US" w:eastAsia="zh-CN" w:bidi="ar-SA"/>
        </w:rPr>
      </w:pPr>
      <w:r>
        <w:rPr>
          <w:rFonts w:hint="eastAsia" w:ascii="宋体" w:hAnsi="宋体" w:cs="宋体"/>
          <w:color w:val="auto"/>
          <w:spacing w:val="8"/>
          <w:kern w:val="2"/>
          <w:sz w:val="21"/>
          <w:szCs w:val="21"/>
          <w:highlight w:val="none"/>
          <w:lang w:val="en-US" w:eastAsia="zh-CN" w:bidi="ar-SA"/>
        </w:rPr>
        <w:t>五、项目方案要求：</w:t>
      </w:r>
    </w:p>
    <w:p w14:paraId="3B620AC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1、参选人依据采购需求，并结合自身相关经验，对本项目开展中的重点与难点进行分析（包括项目重点分析、项目难点分析），同时对分析中识别出的问题提出针对性解决方案。</w:t>
      </w:r>
    </w:p>
    <w:p w14:paraId="47C1200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参选人须严格依据本项目采购需求，结合自身相关项目服务经验，科学制定本项目总体服务方案，具体要求包括但不限于以下内容：（1）明确本项目服务目标、服务范围及核心服务要求，制定详细的服务实施计划（含实施流程、时间节点、阶段任务等）；（2）建立健全的专属服务团队，明确团队人员组织架构，清晰界定各岗位人员的岗位职责、工作分工及任职要求，确保团队高效协同；（3）制定规范的整体服务标准，明确各环节服务流程、服务质量要求及考核标准，确保服务全过程合规、有序。</w:t>
      </w:r>
    </w:p>
    <w:p w14:paraId="205A266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参选人结合采购需求与自身经验，为本项目量身定制服务质量保障方案。从人员安全培训、劳保用品（工作服、工作鞋、手套、护目镜、口罩等）配置、安全作业制度执行三个维度进行系统部署，为项目顺利实施提供坚实安全的保障。</w:t>
      </w:r>
    </w:p>
    <w:p w14:paraId="34379AE8">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4、参选人依据项目需求，提供全方位的应急处理方案。方案涵盖紧急与突发事件处置流程、人员快速调配机制、以及垃圾清运车辆（</w:t>
      </w:r>
      <w:r>
        <w:rPr>
          <w:rFonts w:hint="eastAsia" w:ascii="宋体" w:hAnsi="宋体" w:eastAsia="宋体" w:cs="宋体"/>
          <w:color w:val="auto"/>
          <w:highlight w:val="none"/>
          <w:lang w:val="en-US" w:eastAsia="zh-CN"/>
        </w:rPr>
        <w:t>全密闭自动卸载车辆</w:t>
      </w:r>
      <w:r>
        <w:rPr>
          <w:rFonts w:hint="eastAsia" w:ascii="宋体" w:hAnsi="宋体" w:eastAsia="宋体" w:cs="宋体"/>
          <w:color w:val="auto"/>
          <w:sz w:val="21"/>
          <w:szCs w:val="21"/>
          <w:highlight w:val="none"/>
          <w:lang w:val="en-US" w:eastAsia="zh-CN"/>
        </w:rPr>
        <w:t>、垃圾压缩车）的应急调度与后备保障措施，确保项目在任何突发情况下的服务连续性与安全性。</w:t>
      </w:r>
    </w:p>
    <w:p w14:paraId="35DF105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p>
    <w:bookmarkEnd w:id="919"/>
    <w:bookmarkEnd w:id="920"/>
    <w:bookmarkEnd w:id="921"/>
    <w:bookmarkEnd w:id="922"/>
    <w:bookmarkEnd w:id="923"/>
    <w:bookmarkEnd w:id="924"/>
    <w:bookmarkEnd w:id="925"/>
    <w:bookmarkEnd w:id="926"/>
    <w:bookmarkEnd w:id="927"/>
    <w:p w14:paraId="1F6E0F8A">
      <w:pPr>
        <w:pStyle w:val="2"/>
        <w:pageBreakBefore/>
        <w:spacing w:before="0" w:after="0" w:line="360" w:lineRule="auto"/>
        <w:ind w:firstLine="1325" w:firstLineChars="300"/>
        <w:jc w:val="both"/>
        <w:rPr>
          <w:rFonts w:hint="eastAsia" w:ascii="宋体" w:hAnsi="宋体" w:cs="宋体"/>
          <w:color w:val="auto"/>
          <w:sz w:val="44"/>
          <w:szCs w:val="44"/>
          <w:highlight w:val="none"/>
        </w:rPr>
      </w:pPr>
      <w:bookmarkStart w:id="1002" w:name="_Toc25605"/>
      <w:bookmarkStart w:id="1003" w:name="_Toc28753"/>
      <w:bookmarkStart w:id="1004" w:name="_Toc17711"/>
      <w:r>
        <w:rPr>
          <w:rFonts w:hint="eastAsia" w:ascii="宋体" w:hAnsi="宋体" w:cs="宋体"/>
          <w:color w:val="auto"/>
          <w:sz w:val="44"/>
          <w:szCs w:val="44"/>
          <w:highlight w:val="none"/>
        </w:rPr>
        <w:t xml:space="preserve">第四章 </w:t>
      </w:r>
      <w:r>
        <w:rPr>
          <w:rFonts w:hint="eastAsia" w:ascii="宋体" w:hAnsi="宋体" w:cs="宋体"/>
          <w:color w:val="auto"/>
          <w:sz w:val="44"/>
          <w:szCs w:val="44"/>
          <w:highlight w:val="none"/>
          <w:lang w:val="en-US" w:eastAsia="zh-CN"/>
        </w:rPr>
        <w:t xml:space="preserve"> </w:t>
      </w:r>
      <w:r>
        <w:rPr>
          <w:rFonts w:hint="eastAsia" w:ascii="宋体" w:hAnsi="宋体" w:cs="宋体"/>
          <w:color w:val="auto"/>
          <w:sz w:val="44"/>
          <w:szCs w:val="44"/>
          <w:highlight w:val="none"/>
        </w:rPr>
        <w:t>开启、评审和</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Pr>
          <w:rFonts w:hint="eastAsia" w:ascii="宋体" w:hAnsi="宋体" w:cs="宋体"/>
          <w:color w:val="auto"/>
          <w:sz w:val="44"/>
          <w:szCs w:val="44"/>
          <w:highlight w:val="none"/>
        </w:rPr>
        <w:t>定选</w:t>
      </w:r>
      <w:bookmarkEnd w:id="943"/>
      <w:bookmarkEnd w:id="1002"/>
      <w:bookmarkEnd w:id="1003"/>
      <w:bookmarkEnd w:id="1004"/>
    </w:p>
    <w:p w14:paraId="0AFF6B41">
      <w:pPr>
        <w:widowControl w:val="0"/>
        <w:numPr>
          <w:ilvl w:val="0"/>
          <w:numId w:val="4"/>
        </w:numPr>
        <w:spacing w:line="240" w:lineRule="auto"/>
        <w:ind w:left="567" w:hanging="27"/>
        <w:outlineLvl w:val="1"/>
        <w:rPr>
          <w:rFonts w:ascii="宋体" w:hAnsi="宋体" w:cs="宋体"/>
          <w:b/>
          <w:bCs/>
          <w:color w:val="auto"/>
          <w:highlight w:val="none"/>
        </w:rPr>
      </w:pPr>
      <w:bookmarkStart w:id="1005" w:name="_Toc25268"/>
      <w:bookmarkStart w:id="1006" w:name="_Toc24674"/>
      <w:bookmarkStart w:id="1007" w:name="_Toc4858"/>
      <w:bookmarkStart w:id="1008" w:name="_Toc19382"/>
      <w:bookmarkStart w:id="1009" w:name="_Toc50276153"/>
      <w:bookmarkStart w:id="1010" w:name="_Toc98579007"/>
      <w:bookmarkStart w:id="1011" w:name="_Toc98580289"/>
      <w:bookmarkStart w:id="1012" w:name="_Toc98579065"/>
      <w:bookmarkStart w:id="1013" w:name="_Toc42394669"/>
      <w:bookmarkStart w:id="1014" w:name="_Toc42394513"/>
      <w:bookmarkStart w:id="1015" w:name="_Toc98579606"/>
      <w:bookmarkStart w:id="1016" w:name="_Toc41723931"/>
      <w:bookmarkStart w:id="1017" w:name="_Toc41884701"/>
      <w:bookmarkStart w:id="1018" w:name="_Toc42313167"/>
      <w:r>
        <w:rPr>
          <w:rFonts w:hint="eastAsia" w:ascii="宋体" w:hAnsi="宋体" w:cs="宋体"/>
          <w:b/>
          <w:color w:val="auto"/>
          <w:highlight w:val="none"/>
        </w:rPr>
        <w:t>开启</w:t>
      </w:r>
      <w:bookmarkEnd w:id="1005"/>
      <w:bookmarkEnd w:id="1006"/>
      <w:bookmarkEnd w:id="1007"/>
      <w:bookmarkEnd w:id="1008"/>
    </w:p>
    <w:p w14:paraId="1395321F">
      <w:pPr>
        <w:numPr>
          <w:ilvl w:val="1"/>
          <w:numId w:val="5"/>
        </w:numPr>
        <w:spacing w:line="240" w:lineRule="auto"/>
        <w:ind w:left="0" w:firstLine="425"/>
        <w:rPr>
          <w:rFonts w:ascii="宋体" w:hAnsi="宋体" w:cs="宋体"/>
          <w:color w:val="auto"/>
          <w:highlight w:val="none"/>
        </w:rPr>
      </w:pPr>
      <w:r>
        <w:rPr>
          <w:rFonts w:hint="eastAsia" w:ascii="宋体" w:hAnsi="宋体" w:cs="宋体"/>
          <w:color w:val="auto"/>
          <w:highlight w:val="none"/>
        </w:rPr>
        <w:t>采购代理机构在《参选邀请》中规定的日期、时间和地点组织开启。</w:t>
      </w:r>
    </w:p>
    <w:p w14:paraId="7FE3D7AF">
      <w:pPr>
        <w:numPr>
          <w:ilvl w:val="1"/>
          <w:numId w:val="5"/>
        </w:numPr>
        <w:spacing w:line="240" w:lineRule="auto"/>
        <w:ind w:left="0" w:firstLine="425"/>
        <w:rPr>
          <w:rFonts w:ascii="宋体" w:hAnsi="宋体" w:cs="宋体"/>
          <w:color w:val="auto"/>
          <w:highlight w:val="none"/>
        </w:rPr>
      </w:pPr>
      <w:r>
        <w:rPr>
          <w:rFonts w:hint="eastAsia" w:ascii="宋体" w:hAnsi="宋体" w:cs="宋体"/>
          <w:color w:val="auto"/>
          <w:highlight w:val="none"/>
        </w:rPr>
        <w:t>到达开启时间后，采购代理机构操作启动解密，系统自动完成对参选文件的解密。</w:t>
      </w:r>
    </w:p>
    <w:p w14:paraId="2396CF0C">
      <w:pPr>
        <w:numPr>
          <w:ilvl w:val="1"/>
          <w:numId w:val="5"/>
        </w:numPr>
        <w:spacing w:line="240" w:lineRule="auto"/>
        <w:ind w:left="0" w:firstLine="425"/>
        <w:rPr>
          <w:rFonts w:ascii="宋体" w:hAnsi="宋体" w:cs="宋体"/>
          <w:color w:val="auto"/>
          <w:highlight w:val="none"/>
        </w:rPr>
      </w:pPr>
      <w:r>
        <w:rPr>
          <w:rFonts w:hint="eastAsia" w:ascii="宋体" w:hAnsi="宋体" w:cs="宋体"/>
          <w:color w:val="auto"/>
          <w:highlight w:val="none"/>
        </w:rPr>
        <w:t>完成参选文件解密后，采购代理机构在线发起开启确认，参选人需在开启确认截止时间前对报价一览表确认，在开启确认截止时间前参选人可对开启结果提出异议，若到了开启确认截止时间前未确认的，系统将自动确认。</w:t>
      </w:r>
    </w:p>
    <w:bookmarkEnd w:id="1009"/>
    <w:bookmarkEnd w:id="1010"/>
    <w:bookmarkEnd w:id="1011"/>
    <w:bookmarkEnd w:id="1012"/>
    <w:bookmarkEnd w:id="1013"/>
    <w:bookmarkEnd w:id="1014"/>
    <w:bookmarkEnd w:id="1015"/>
    <w:p w14:paraId="0A82D3AD">
      <w:pPr>
        <w:widowControl w:val="0"/>
        <w:numPr>
          <w:ilvl w:val="0"/>
          <w:numId w:val="4"/>
        </w:numPr>
        <w:spacing w:line="240" w:lineRule="auto"/>
        <w:ind w:left="567" w:hanging="27"/>
        <w:outlineLvl w:val="1"/>
        <w:rPr>
          <w:rFonts w:ascii="宋体" w:hAnsi="宋体" w:cs="宋体"/>
          <w:b/>
          <w:color w:val="auto"/>
          <w:highlight w:val="none"/>
        </w:rPr>
      </w:pPr>
      <w:bookmarkStart w:id="1019" w:name="_Toc6033"/>
      <w:bookmarkStart w:id="1020" w:name="_Toc2922"/>
      <w:bookmarkStart w:id="1021" w:name="_Toc15545"/>
      <w:bookmarkStart w:id="1022" w:name="_Toc19081"/>
      <w:r>
        <w:rPr>
          <w:rFonts w:hint="eastAsia" w:ascii="宋体" w:hAnsi="宋体" w:cs="宋体"/>
          <w:b/>
          <w:color w:val="auto"/>
          <w:highlight w:val="none"/>
        </w:rPr>
        <w:t>评审</w:t>
      </w:r>
      <w:bookmarkEnd w:id="1019"/>
      <w:bookmarkEnd w:id="1020"/>
      <w:bookmarkEnd w:id="1021"/>
      <w:bookmarkEnd w:id="1022"/>
    </w:p>
    <w:p w14:paraId="0CE19193">
      <w:pPr>
        <w:keepNext w:val="0"/>
        <w:keepLines w:val="0"/>
        <w:pageBreakBefore w:val="0"/>
        <w:widowControl/>
        <w:numPr>
          <w:ilvl w:val="1"/>
          <w:numId w:val="6"/>
        </w:numPr>
        <w:kinsoku/>
        <w:wordWrap/>
        <w:overflowPunct/>
        <w:topLinePunct w:val="0"/>
        <w:autoSpaceDE/>
        <w:autoSpaceDN/>
        <w:bidi w:val="0"/>
        <w:adjustRightInd/>
        <w:snapToGrid/>
        <w:spacing w:line="240" w:lineRule="auto"/>
        <w:ind w:left="-39" w:firstLine="425"/>
        <w:jc w:val="both"/>
        <w:textAlignment w:val="auto"/>
        <w:rPr>
          <w:rFonts w:ascii="宋体" w:hAnsi="宋体" w:cs="宋体"/>
          <w:color w:val="auto"/>
          <w:highlight w:val="none"/>
        </w:rPr>
      </w:pPr>
      <w:r>
        <w:rPr>
          <w:rFonts w:hint="eastAsia"/>
          <w:color w:val="auto"/>
          <w:highlight w:val="none"/>
          <w:lang w:eastAsia="zh-CN"/>
        </w:rPr>
        <w:t>截至参选截止时间，如递交参选文件的供应商不足三家的，或者初审（资格性、符合性审查）通过的供应商不足三家的，可与满足初审的供应商继续进行以下的采购流程：</w:t>
      </w:r>
    </w:p>
    <w:p w14:paraId="61B8AC38">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left="0" w:firstLine="420" w:firstLineChars="200"/>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）如递交参选文件的供应商或通过初审的供应商只有两家时，可继续按照采购文件规定的评审方法及评审标准继续进行遴选；</w:t>
      </w:r>
    </w:p>
    <w:p w14:paraId="4DFDBE2E">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left="0" w:firstLine="420" w:firstLineChars="200"/>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）如递交参选文件的供应商或通过初审的供应商只有一家时，则可与供应商进行议价；具体议价流程：</w:t>
      </w:r>
    </w:p>
    <w:p w14:paraId="59F9FC24">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left="0" w:firstLine="420" w:firstLineChars="200"/>
        <w:jc w:val="both"/>
        <w:textAlignment w:val="auto"/>
        <w:rPr>
          <w:rFonts w:hint="eastAsia"/>
          <w:color w:val="auto"/>
          <w:highlight w:val="none"/>
          <w:lang w:eastAsia="zh-CN"/>
        </w:rPr>
      </w:pPr>
      <w:r>
        <w:rPr>
          <w:rFonts w:hint="eastAsia"/>
          <w:color w:val="auto"/>
          <w:highlight w:val="none"/>
          <w:lang w:eastAsia="zh-CN"/>
        </w:rPr>
        <w:t>1）评审委员会与初审合格的供应商应围绕技术、服务、商务内容</w:t>
      </w:r>
      <w:r>
        <w:rPr>
          <w:rFonts w:hint="eastAsia"/>
          <w:b w:val="0"/>
          <w:bCs w:val="0"/>
          <w:color w:val="auto"/>
          <w:highlight w:val="none"/>
          <w:lang w:eastAsia="zh-CN"/>
        </w:rPr>
        <w:t>（实质性条款除外）</w:t>
      </w:r>
      <w:r>
        <w:rPr>
          <w:rFonts w:hint="eastAsia"/>
          <w:color w:val="auto"/>
          <w:highlight w:val="none"/>
          <w:lang w:eastAsia="zh-CN"/>
        </w:rPr>
        <w:t>分别进行一轮或多轮的谈判。在谈判过程中，评审委员会应当严格遵循保密原则，未经供应商同意不得向任何人透露当事人的技术、服务、价格和其他重要信息。</w:t>
      </w:r>
    </w:p>
    <w:p w14:paraId="001801DE">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left="0" w:firstLine="420" w:firstLineChars="200"/>
        <w:jc w:val="both"/>
        <w:textAlignment w:val="auto"/>
        <w:rPr>
          <w:rFonts w:hint="eastAsia"/>
          <w:color w:val="auto"/>
          <w:highlight w:val="none"/>
          <w:lang w:eastAsia="zh-CN"/>
        </w:rPr>
      </w:pPr>
      <w:r>
        <w:rPr>
          <w:rFonts w:hint="eastAsia"/>
          <w:color w:val="auto"/>
          <w:highlight w:val="none"/>
          <w:lang w:eastAsia="zh-CN"/>
        </w:rPr>
        <w:t>2）文件的修正：评审委员会调整或修改采购需求章节内容时</w:t>
      </w:r>
      <w:r>
        <w:rPr>
          <w:rFonts w:hint="eastAsia"/>
          <w:b w:val="0"/>
          <w:bCs w:val="0"/>
          <w:color w:val="auto"/>
          <w:highlight w:val="none"/>
          <w:lang w:eastAsia="zh-CN"/>
        </w:rPr>
        <w:t>（实质性条款除外）</w:t>
      </w:r>
      <w:r>
        <w:rPr>
          <w:rFonts w:hint="eastAsia"/>
          <w:color w:val="auto"/>
          <w:highlight w:val="none"/>
          <w:lang w:eastAsia="zh-CN"/>
        </w:rPr>
        <w:t xml:space="preserve">，应取得评审委员会的一致同意，并以书面形式通知参加谈判的供应商。但任何形式的决定须以合法、公平、公正原则为前提。 </w:t>
      </w:r>
    </w:p>
    <w:p w14:paraId="064E0320">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left="0" w:firstLine="420" w:firstLineChars="200"/>
        <w:jc w:val="both"/>
        <w:textAlignment w:val="auto"/>
        <w:rPr>
          <w:rFonts w:hint="eastAsia"/>
          <w:color w:val="auto"/>
          <w:highlight w:val="none"/>
          <w:lang w:eastAsia="zh-CN"/>
        </w:rPr>
      </w:pPr>
      <w:r>
        <w:rPr>
          <w:rFonts w:hint="eastAsia"/>
          <w:color w:val="auto"/>
          <w:highlight w:val="none"/>
          <w:lang w:val="en-US" w:eastAsia="zh-CN"/>
        </w:rPr>
        <w:t>3</w:t>
      </w:r>
      <w:r>
        <w:rPr>
          <w:rFonts w:hint="eastAsia"/>
          <w:color w:val="auto"/>
          <w:highlight w:val="none"/>
          <w:lang w:eastAsia="zh-CN"/>
        </w:rPr>
        <w:t>）在谈判过程中，评审委员会要求供应商澄清或提交最终报价文件的，供应商需提交澄清文件和最终报价文件。</w:t>
      </w:r>
    </w:p>
    <w:p w14:paraId="0C17B6BF">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left="0" w:firstLine="420" w:firstLineChars="200"/>
        <w:jc w:val="both"/>
        <w:textAlignment w:val="auto"/>
        <w:rPr>
          <w:rFonts w:hint="eastAsia"/>
          <w:color w:val="auto"/>
          <w:highlight w:val="none"/>
          <w:lang w:eastAsia="zh-CN"/>
        </w:rPr>
      </w:pPr>
      <w:r>
        <w:rPr>
          <w:rFonts w:hint="eastAsia"/>
          <w:color w:val="auto"/>
          <w:highlight w:val="none"/>
          <w:lang w:val="en-US" w:eastAsia="zh-CN"/>
        </w:rPr>
        <w:t>4</w:t>
      </w:r>
      <w:r>
        <w:rPr>
          <w:rFonts w:hint="eastAsia"/>
          <w:color w:val="auto"/>
          <w:highlight w:val="none"/>
          <w:lang w:eastAsia="zh-CN"/>
        </w:rPr>
        <w:t>）最终报价：谈判结束后，做出响应的有效供应商应在评审委员会规定的时间内密封提交最终报价文件。评审委员会不接受高于前面轮次谈判报价的最终报价。</w:t>
      </w:r>
    </w:p>
    <w:p w14:paraId="79A051E8">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auto"/>
          <w:highlight w:val="none"/>
          <w:lang w:val="en-US" w:eastAsia="zh-CN"/>
        </w:rPr>
      </w:pPr>
      <w:r>
        <w:rPr>
          <w:rFonts w:hint="eastAsia"/>
          <w:color w:val="auto"/>
          <w:highlight w:val="none"/>
          <w:lang w:eastAsia="zh-CN"/>
        </w:rPr>
        <w:t>5）</w:t>
      </w:r>
      <w:r>
        <w:rPr>
          <w:rFonts w:hint="eastAsia"/>
          <w:color w:val="auto"/>
          <w:highlight w:val="none"/>
        </w:rPr>
        <w:t>在项目预算范围内，保证采购项目质量的前提下，通过协商，最终确定成交价格，并由</w:t>
      </w:r>
      <w:r>
        <w:rPr>
          <w:rFonts w:hint="eastAsia"/>
          <w:color w:val="auto"/>
          <w:highlight w:val="none"/>
          <w:lang w:eastAsia="zh-CN"/>
        </w:rPr>
        <w:t>评审委员会</w:t>
      </w:r>
      <w:r>
        <w:rPr>
          <w:rFonts w:hint="eastAsia"/>
          <w:color w:val="auto"/>
          <w:highlight w:val="none"/>
        </w:rPr>
        <w:t>编写协商情况记录表</w:t>
      </w:r>
      <w:r>
        <w:rPr>
          <w:rFonts w:hint="eastAsia"/>
          <w:color w:val="auto"/>
          <w:highlight w:val="none"/>
          <w:lang w:eastAsia="zh-CN"/>
        </w:rPr>
        <w:t>，并确定中选供应商</w:t>
      </w:r>
      <w:r>
        <w:rPr>
          <w:rFonts w:hint="eastAsia"/>
          <w:color w:val="auto"/>
          <w:highlight w:val="none"/>
        </w:rPr>
        <w:t>。供应商的最终报价一旦</w:t>
      </w:r>
      <w:r>
        <w:rPr>
          <w:rFonts w:hint="eastAsia"/>
          <w:color w:val="auto"/>
          <w:highlight w:val="none"/>
          <w:lang w:eastAsia="zh-CN"/>
        </w:rPr>
        <w:t>确立</w:t>
      </w:r>
      <w:r>
        <w:rPr>
          <w:rFonts w:hint="eastAsia"/>
          <w:color w:val="auto"/>
          <w:highlight w:val="none"/>
        </w:rPr>
        <w:t>，则组成总价的各单项报价应按照总价金额为限适度下调，如果供应商不接受此调整，其报价将被拒绝</w:t>
      </w:r>
      <w:r>
        <w:rPr>
          <w:rFonts w:hint="eastAsia"/>
          <w:color w:val="auto"/>
          <w:highlight w:val="none"/>
          <w:lang w:eastAsia="zh-CN"/>
        </w:rPr>
        <w:t>。</w:t>
      </w:r>
    </w:p>
    <w:p w14:paraId="236D7421">
      <w:pPr>
        <w:numPr>
          <w:ilvl w:val="1"/>
          <w:numId w:val="6"/>
        </w:numPr>
        <w:spacing w:line="240" w:lineRule="auto"/>
        <w:ind w:left="-39" w:firstLine="425"/>
        <w:rPr>
          <w:rFonts w:ascii="宋体" w:hAnsi="宋体" w:cs="宋体"/>
          <w:color w:val="auto"/>
          <w:highlight w:val="none"/>
        </w:rPr>
      </w:pPr>
      <w:r>
        <w:rPr>
          <w:rFonts w:hint="eastAsia" w:ascii="宋体" w:hAnsi="宋体" w:cs="宋体"/>
          <w:color w:val="auto"/>
          <w:highlight w:val="none"/>
        </w:rPr>
        <w:t>本项目依法组建评审委员会。评审委员会由采购人的代表和从采购代理机构专家库随机抽取的专家共5人组成，其中专家人数不少于评委会成员总数的三分之二。评委会将本着公平、公正、科学、择优的原则，严格按照法律法规和遴选文件的</w:t>
      </w:r>
      <w:r>
        <w:rPr>
          <w:color w:val="auto"/>
          <w:highlight w:val="none"/>
        </w:rPr>
        <w:t>评</w:t>
      </w:r>
      <w:r>
        <w:rPr>
          <w:rFonts w:hint="eastAsia"/>
          <w:color w:val="auto"/>
          <w:highlight w:val="none"/>
        </w:rPr>
        <w:t>选</w:t>
      </w:r>
      <w:r>
        <w:rPr>
          <w:color w:val="auto"/>
          <w:highlight w:val="none"/>
        </w:rPr>
        <w:t>方法、步骤、标准，对</w:t>
      </w:r>
      <w:r>
        <w:rPr>
          <w:rFonts w:hint="eastAsia"/>
          <w:color w:val="auto"/>
          <w:highlight w:val="none"/>
        </w:rPr>
        <w:t>参选</w:t>
      </w:r>
      <w:r>
        <w:rPr>
          <w:color w:val="auto"/>
          <w:highlight w:val="none"/>
        </w:rPr>
        <w:t>文件进行评</w:t>
      </w:r>
      <w:r>
        <w:rPr>
          <w:rFonts w:hint="eastAsia"/>
          <w:color w:val="auto"/>
          <w:highlight w:val="none"/>
        </w:rPr>
        <w:t>选。评选</w:t>
      </w:r>
      <w:r>
        <w:rPr>
          <w:color w:val="auto"/>
          <w:highlight w:val="none"/>
        </w:rPr>
        <w:t>结束后，对</w:t>
      </w:r>
      <w:r>
        <w:rPr>
          <w:rFonts w:hint="eastAsia"/>
          <w:color w:val="auto"/>
          <w:highlight w:val="none"/>
        </w:rPr>
        <w:t>参选</w:t>
      </w:r>
      <w:r>
        <w:rPr>
          <w:color w:val="auto"/>
          <w:highlight w:val="none"/>
        </w:rPr>
        <w:t>人的评</w:t>
      </w:r>
      <w:r>
        <w:rPr>
          <w:rFonts w:hint="eastAsia"/>
          <w:color w:val="auto"/>
          <w:highlight w:val="none"/>
        </w:rPr>
        <w:t>选</w:t>
      </w:r>
      <w:r>
        <w:rPr>
          <w:color w:val="auto"/>
          <w:highlight w:val="none"/>
        </w:rPr>
        <w:t>名次进行排序，推荐</w:t>
      </w:r>
      <w:r>
        <w:rPr>
          <w:rFonts w:hint="eastAsia"/>
          <w:color w:val="auto"/>
          <w:highlight w:val="none"/>
        </w:rPr>
        <w:t>成交</w:t>
      </w:r>
      <w:r>
        <w:rPr>
          <w:color w:val="auto"/>
          <w:highlight w:val="none"/>
        </w:rPr>
        <w:t>候选人。</w:t>
      </w:r>
    </w:p>
    <w:p w14:paraId="59A20382">
      <w:pPr>
        <w:numPr>
          <w:ilvl w:val="1"/>
          <w:numId w:val="6"/>
        </w:numPr>
        <w:spacing w:line="240" w:lineRule="auto"/>
        <w:ind w:left="-39" w:firstLine="425"/>
        <w:rPr>
          <w:rFonts w:ascii="宋体" w:hAnsi="宋体" w:cs="宋体"/>
          <w:color w:val="auto"/>
          <w:highlight w:val="none"/>
        </w:rPr>
      </w:pPr>
      <w:r>
        <w:rPr>
          <w:rFonts w:hint="eastAsia" w:ascii="宋体" w:hAnsi="宋体" w:cs="宋体"/>
          <w:color w:val="auto"/>
          <w:highlight w:val="none"/>
        </w:rPr>
        <w:t>评审专家有下列情形之一的，受到邀请应主动提出回避，采购人、采购代理机构和政府采购监管部门也可以要求该评审专家回避：</w:t>
      </w:r>
    </w:p>
    <w:p w14:paraId="4832D4BE">
      <w:pPr>
        <w:tabs>
          <w:tab w:val="left" w:pos="720"/>
          <w:tab w:val="left" w:pos="1080"/>
        </w:tabs>
        <w:spacing w:line="240" w:lineRule="auto"/>
        <w:ind w:left="360"/>
        <w:jc w:val="both"/>
        <w:rPr>
          <w:rFonts w:ascii="宋体" w:hAnsi="宋体" w:cs="宋体"/>
          <w:color w:val="auto"/>
          <w:highlight w:val="none"/>
        </w:rPr>
      </w:pPr>
      <w:r>
        <w:rPr>
          <w:rFonts w:hint="eastAsia" w:ascii="宋体" w:hAnsi="宋体" w:cs="宋体"/>
          <w:color w:val="auto"/>
          <w:highlight w:val="none"/>
        </w:rPr>
        <w:t>1.本人、配偶或直系亲属3年内曾在参加该采购项目的参选人中任职（包括一般工作）或担任顾问，或与参加该采购项目的参选人发生过法律纠纷；</w:t>
      </w:r>
    </w:p>
    <w:p w14:paraId="344D7FE9">
      <w:pPr>
        <w:tabs>
          <w:tab w:val="left" w:pos="720"/>
          <w:tab w:val="left" w:pos="1080"/>
        </w:tabs>
        <w:spacing w:line="240" w:lineRule="auto"/>
        <w:ind w:left="360"/>
        <w:jc w:val="both"/>
        <w:rPr>
          <w:rFonts w:ascii="宋体" w:hAnsi="宋体" w:cs="宋体"/>
          <w:color w:val="auto"/>
          <w:highlight w:val="none"/>
        </w:rPr>
      </w:pPr>
      <w:r>
        <w:rPr>
          <w:rFonts w:hint="eastAsia" w:ascii="宋体" w:hAnsi="宋体" w:cs="宋体"/>
          <w:color w:val="auto"/>
          <w:highlight w:val="none"/>
        </w:rPr>
        <w:t>2.任职单位与采购人或参加该采购项目参选人存在行政隶属关系；</w:t>
      </w:r>
    </w:p>
    <w:p w14:paraId="4AF216E0">
      <w:pPr>
        <w:tabs>
          <w:tab w:val="left" w:pos="720"/>
          <w:tab w:val="left" w:pos="1080"/>
        </w:tabs>
        <w:spacing w:line="240" w:lineRule="auto"/>
        <w:ind w:left="360"/>
        <w:jc w:val="both"/>
        <w:rPr>
          <w:rFonts w:ascii="宋体" w:hAnsi="宋体" w:cs="宋体"/>
          <w:color w:val="auto"/>
          <w:highlight w:val="none"/>
        </w:rPr>
      </w:pPr>
      <w:r>
        <w:rPr>
          <w:rFonts w:hint="eastAsia" w:ascii="宋体" w:hAnsi="宋体" w:cs="宋体"/>
          <w:color w:val="auto"/>
          <w:highlight w:val="none"/>
        </w:rPr>
        <w:t>3.曾经参加过该采购项目的进口产品或遴选文件、采购需求、采购方式的论证和咨询服务工作；</w:t>
      </w:r>
    </w:p>
    <w:p w14:paraId="084AD5E0">
      <w:pPr>
        <w:tabs>
          <w:tab w:val="left" w:pos="720"/>
          <w:tab w:val="left" w:pos="1080"/>
        </w:tabs>
        <w:spacing w:line="240" w:lineRule="auto"/>
        <w:ind w:left="360"/>
        <w:jc w:val="both"/>
        <w:rPr>
          <w:rFonts w:ascii="宋体" w:hAnsi="宋体" w:cs="宋体"/>
          <w:color w:val="auto"/>
          <w:highlight w:val="none"/>
        </w:rPr>
      </w:pPr>
      <w:r>
        <w:rPr>
          <w:rFonts w:hint="eastAsia" w:ascii="宋体" w:hAnsi="宋体" w:cs="宋体"/>
          <w:color w:val="auto"/>
          <w:highlight w:val="none"/>
        </w:rPr>
        <w:t>4.是参加该采购项目参选人的上级主管部门、控股或参股单位的工作人员，或与该参选人存在其他经济利益关系；</w:t>
      </w:r>
    </w:p>
    <w:p w14:paraId="129B1C23">
      <w:pPr>
        <w:tabs>
          <w:tab w:val="left" w:pos="720"/>
          <w:tab w:val="left" w:pos="1080"/>
        </w:tabs>
        <w:spacing w:line="240" w:lineRule="auto"/>
        <w:ind w:left="360"/>
        <w:jc w:val="both"/>
        <w:rPr>
          <w:rFonts w:ascii="宋体" w:hAnsi="宋体" w:cs="宋体"/>
          <w:color w:val="auto"/>
          <w:highlight w:val="none"/>
        </w:rPr>
      </w:pPr>
      <w:r>
        <w:rPr>
          <w:rFonts w:hint="eastAsia" w:ascii="宋体" w:hAnsi="宋体" w:cs="宋体"/>
          <w:color w:val="auto"/>
          <w:highlight w:val="none"/>
        </w:rPr>
        <w:t>5.评审委员会成员之间具有配偶、近亲属关系；</w:t>
      </w:r>
    </w:p>
    <w:p w14:paraId="144E0410">
      <w:pPr>
        <w:tabs>
          <w:tab w:val="left" w:pos="720"/>
          <w:tab w:val="left" w:pos="1080"/>
        </w:tabs>
        <w:spacing w:line="240" w:lineRule="auto"/>
        <w:ind w:left="360"/>
        <w:jc w:val="both"/>
        <w:rPr>
          <w:rFonts w:ascii="宋体" w:hAnsi="宋体" w:cs="宋体"/>
          <w:color w:val="auto"/>
          <w:highlight w:val="none"/>
        </w:rPr>
      </w:pPr>
      <w:r>
        <w:rPr>
          <w:rFonts w:hint="eastAsia" w:ascii="宋体" w:hAnsi="宋体" w:cs="宋体"/>
          <w:color w:val="auto"/>
          <w:highlight w:val="none"/>
        </w:rPr>
        <w:t>6.同一单位的评审专家在同一项目评审委员会成员中超过两名；</w:t>
      </w:r>
    </w:p>
    <w:p w14:paraId="63BCDFB9">
      <w:pPr>
        <w:tabs>
          <w:tab w:val="left" w:pos="720"/>
          <w:tab w:val="left" w:pos="1080"/>
        </w:tabs>
        <w:spacing w:line="240" w:lineRule="auto"/>
        <w:ind w:left="360"/>
        <w:jc w:val="both"/>
        <w:rPr>
          <w:rFonts w:ascii="宋体" w:hAnsi="宋体" w:cs="宋体"/>
          <w:color w:val="auto"/>
          <w:highlight w:val="none"/>
        </w:rPr>
      </w:pPr>
      <w:r>
        <w:rPr>
          <w:rFonts w:hint="eastAsia" w:ascii="宋体" w:hAnsi="宋体" w:cs="宋体"/>
          <w:color w:val="auto"/>
          <w:highlight w:val="none"/>
        </w:rPr>
        <w:t>7.其他可能影响评审工作公正性情形。</w:t>
      </w:r>
    </w:p>
    <w:p w14:paraId="53D0A673">
      <w:pPr>
        <w:numPr>
          <w:ilvl w:val="1"/>
          <w:numId w:val="6"/>
        </w:numPr>
        <w:spacing w:line="240" w:lineRule="auto"/>
        <w:ind w:left="-39" w:firstLine="425"/>
        <w:rPr>
          <w:rFonts w:ascii="宋体" w:hAnsi="宋体" w:cs="宋体"/>
          <w:color w:val="auto"/>
          <w:highlight w:val="none"/>
        </w:rPr>
      </w:pPr>
      <w:r>
        <w:rPr>
          <w:rFonts w:hint="eastAsia" w:ascii="宋体" w:hAnsi="宋体" w:cs="宋体"/>
          <w:color w:val="auto"/>
          <w:highlight w:val="none"/>
        </w:rPr>
        <w:t>评审委员会将按照遴选文件确定的评审方法进行评审。对遴选文件中描述有歧义或前后不一致的地方，评审委员会有权按法律法规的规定进行评判，但对同一条款的评判应适用于每个参选人。</w:t>
      </w:r>
    </w:p>
    <w:p w14:paraId="0E84C997">
      <w:pPr>
        <w:numPr>
          <w:ilvl w:val="1"/>
          <w:numId w:val="6"/>
        </w:numPr>
        <w:spacing w:line="240" w:lineRule="auto"/>
        <w:ind w:left="-39" w:firstLine="425"/>
        <w:rPr>
          <w:rFonts w:ascii="宋体" w:hAnsi="宋体" w:cs="宋体"/>
          <w:color w:val="auto"/>
          <w:highlight w:val="none"/>
        </w:rPr>
      </w:pPr>
      <w:r>
        <w:rPr>
          <w:rFonts w:hint="eastAsia" w:ascii="宋体" w:hAnsi="宋体" w:cs="宋体"/>
          <w:color w:val="auto"/>
          <w:highlight w:val="none"/>
        </w:rPr>
        <w:t>对于参选文件中含义不明确、同类问题表述不一致或者有明显文字和计算错误的内容，评审委员会应当以书面形式要求参选人作出必要的澄清、说明或者补正。参选人的澄清、说明或者补正应当采用书面形式，并加盖公章，或者由法定代表人或其授权的代表签字。参选人的澄清、说明或者补正不得超出参选文件的范围或者改变参选文件的实质性内容。</w:t>
      </w:r>
    </w:p>
    <w:p w14:paraId="2BC47002">
      <w:pPr>
        <w:numPr>
          <w:ilvl w:val="1"/>
          <w:numId w:val="6"/>
        </w:numPr>
        <w:spacing w:line="240" w:lineRule="auto"/>
        <w:ind w:left="-39" w:firstLine="425"/>
        <w:rPr>
          <w:rFonts w:ascii="宋体" w:hAnsi="宋体" w:cs="宋体"/>
          <w:color w:val="auto"/>
          <w:highlight w:val="none"/>
        </w:rPr>
      </w:pPr>
      <w:r>
        <w:rPr>
          <w:rFonts w:hint="eastAsia" w:ascii="宋体" w:hAnsi="宋体" w:cs="宋体"/>
          <w:color w:val="auto"/>
          <w:highlight w:val="none"/>
        </w:rPr>
        <w:t>评审委员会成员对需要共同认定的事项存在争议的，应当按照少数服从多数的原则作出结论。持不同意见的评审委员会成员应当在评审报告上签署不同意见及理由，否则视为同意评审报告。</w:t>
      </w:r>
    </w:p>
    <w:p w14:paraId="14A85624">
      <w:pPr>
        <w:numPr>
          <w:ilvl w:val="1"/>
          <w:numId w:val="6"/>
        </w:numPr>
        <w:spacing w:line="240" w:lineRule="auto"/>
        <w:ind w:left="-39" w:firstLine="425"/>
        <w:rPr>
          <w:rFonts w:ascii="宋体" w:hAnsi="宋体" w:cs="宋体"/>
          <w:color w:val="auto"/>
          <w:highlight w:val="none"/>
        </w:rPr>
      </w:pPr>
      <w:r>
        <w:rPr>
          <w:rFonts w:hint="eastAsia" w:ascii="宋体" w:hAnsi="宋体" w:cs="宋体"/>
          <w:color w:val="auto"/>
          <w:highlight w:val="none"/>
        </w:rPr>
        <w:t>有下列情形之一的，视为参选人串通参选，其参选无效：</w:t>
      </w:r>
    </w:p>
    <w:p w14:paraId="6BE7DCD2">
      <w:pPr>
        <w:numPr>
          <w:ilvl w:val="2"/>
          <w:numId w:val="7"/>
        </w:numPr>
        <w:spacing w:line="240" w:lineRule="auto"/>
        <w:rPr>
          <w:rFonts w:ascii="宋体" w:hAnsi="宋体" w:cs="宋体"/>
          <w:color w:val="auto"/>
          <w:highlight w:val="none"/>
        </w:rPr>
      </w:pPr>
      <w:bookmarkStart w:id="1023" w:name="_Toc27505"/>
      <w:bookmarkStart w:id="1024" w:name="_Toc508619498"/>
      <w:bookmarkStart w:id="1025" w:name="_Toc513112246"/>
      <w:bookmarkStart w:id="1026" w:name="_Toc535418394"/>
      <w:bookmarkStart w:id="1027" w:name="_Toc528659973"/>
      <w:bookmarkStart w:id="1028" w:name="_Toc503962597"/>
      <w:bookmarkStart w:id="1029" w:name="_Toc513631031"/>
      <w:bookmarkStart w:id="1030" w:name="_Toc31085"/>
      <w:bookmarkStart w:id="1031" w:name="_Toc511916196"/>
      <w:bookmarkStart w:id="1032" w:name="_Toc508036160"/>
      <w:bookmarkStart w:id="1033" w:name="_Toc25850"/>
      <w:bookmarkStart w:id="1034" w:name="_Toc503962254"/>
      <w:bookmarkStart w:id="1035" w:name="_Toc535854417"/>
      <w:r>
        <w:rPr>
          <w:rFonts w:hint="eastAsia" w:ascii="宋体" w:hAnsi="宋体" w:cs="宋体"/>
          <w:color w:val="auto"/>
          <w:highlight w:val="none"/>
        </w:rPr>
        <w:t>不同参选人的参选文件由同一单位或者个人编制；</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B5DB45D">
      <w:pPr>
        <w:numPr>
          <w:ilvl w:val="2"/>
          <w:numId w:val="7"/>
        </w:numPr>
        <w:spacing w:line="240" w:lineRule="auto"/>
        <w:ind w:left="0" w:firstLine="540"/>
        <w:rPr>
          <w:rFonts w:ascii="宋体" w:hAnsi="宋体" w:cs="宋体"/>
          <w:color w:val="auto"/>
          <w:highlight w:val="none"/>
        </w:rPr>
      </w:pPr>
      <w:bookmarkStart w:id="1036" w:name="_Toc535418395"/>
      <w:bookmarkStart w:id="1037" w:name="_Toc528659974"/>
      <w:bookmarkStart w:id="1038" w:name="_Toc508619499"/>
      <w:bookmarkStart w:id="1039" w:name="_Toc503962598"/>
      <w:bookmarkStart w:id="1040" w:name="_Toc513631032"/>
      <w:bookmarkStart w:id="1041" w:name="_Toc29603"/>
      <w:bookmarkStart w:id="1042" w:name="_Toc508036161"/>
      <w:bookmarkStart w:id="1043" w:name="_Toc511916197"/>
      <w:bookmarkStart w:id="1044" w:name="_Toc31612"/>
      <w:bookmarkStart w:id="1045" w:name="_Toc535854418"/>
      <w:bookmarkStart w:id="1046" w:name="_Toc13474"/>
      <w:bookmarkStart w:id="1047" w:name="_Toc503962255"/>
      <w:bookmarkStart w:id="1048" w:name="_Toc513112247"/>
      <w:r>
        <w:rPr>
          <w:rFonts w:hint="eastAsia" w:ascii="宋体" w:hAnsi="宋体" w:cs="宋体"/>
          <w:color w:val="auto"/>
          <w:highlight w:val="none"/>
        </w:rPr>
        <w:t>不同参选人委托同一单位或者个人办理参选事宜；</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5C5AECE">
      <w:pPr>
        <w:numPr>
          <w:ilvl w:val="2"/>
          <w:numId w:val="7"/>
        </w:numPr>
        <w:spacing w:line="240" w:lineRule="auto"/>
        <w:ind w:left="0" w:firstLine="540"/>
        <w:rPr>
          <w:rFonts w:ascii="宋体" w:hAnsi="宋体" w:cs="宋体"/>
          <w:color w:val="auto"/>
          <w:highlight w:val="none"/>
        </w:rPr>
      </w:pPr>
      <w:bookmarkStart w:id="1049" w:name="_Toc535854419"/>
      <w:bookmarkStart w:id="1050" w:name="_Toc503962256"/>
      <w:bookmarkStart w:id="1051" w:name="_Toc535418396"/>
      <w:bookmarkStart w:id="1052" w:name="_Toc2508"/>
      <w:bookmarkStart w:id="1053" w:name="_Toc508036162"/>
      <w:bookmarkStart w:id="1054" w:name="_Toc19020"/>
      <w:bookmarkStart w:id="1055" w:name="_Toc508619500"/>
      <w:bookmarkStart w:id="1056" w:name="_Toc511916198"/>
      <w:bookmarkStart w:id="1057" w:name="_Toc513112248"/>
      <w:bookmarkStart w:id="1058" w:name="_Toc528659975"/>
      <w:bookmarkStart w:id="1059" w:name="_Toc503962599"/>
      <w:bookmarkStart w:id="1060" w:name="_Toc5621"/>
      <w:bookmarkStart w:id="1061" w:name="_Toc513631033"/>
      <w:r>
        <w:rPr>
          <w:rFonts w:hint="eastAsia" w:ascii="宋体" w:hAnsi="宋体" w:cs="宋体"/>
          <w:color w:val="auto"/>
          <w:highlight w:val="none"/>
        </w:rPr>
        <w:t>不同参选人的参选文件载明的项目管理成员或者联系人员为同一人；</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BDA2646">
      <w:pPr>
        <w:numPr>
          <w:ilvl w:val="2"/>
          <w:numId w:val="7"/>
        </w:numPr>
        <w:spacing w:line="240" w:lineRule="auto"/>
        <w:ind w:left="0" w:firstLine="540"/>
        <w:rPr>
          <w:rFonts w:ascii="宋体" w:hAnsi="宋体" w:cs="宋体"/>
          <w:color w:val="auto"/>
          <w:highlight w:val="none"/>
        </w:rPr>
      </w:pPr>
      <w:bookmarkStart w:id="1062" w:name="_Toc508036163"/>
      <w:bookmarkStart w:id="1063" w:name="_Toc508619501"/>
      <w:bookmarkStart w:id="1064" w:name="_Toc1451"/>
      <w:bookmarkStart w:id="1065" w:name="_Toc13714"/>
      <w:bookmarkStart w:id="1066" w:name="_Toc2232"/>
      <w:bookmarkStart w:id="1067" w:name="_Toc535418397"/>
      <w:bookmarkStart w:id="1068" w:name="_Toc503962257"/>
      <w:bookmarkStart w:id="1069" w:name="_Toc528659976"/>
      <w:bookmarkStart w:id="1070" w:name="_Toc535854420"/>
      <w:bookmarkStart w:id="1071" w:name="_Toc513631034"/>
      <w:bookmarkStart w:id="1072" w:name="_Toc503962600"/>
      <w:bookmarkStart w:id="1073" w:name="_Toc513112249"/>
      <w:bookmarkStart w:id="1074" w:name="_Toc511916199"/>
      <w:r>
        <w:rPr>
          <w:rFonts w:hint="eastAsia" w:ascii="宋体" w:hAnsi="宋体" w:cs="宋体"/>
          <w:color w:val="auto"/>
          <w:highlight w:val="none"/>
        </w:rPr>
        <w:t>不同参选人的参选文件异常一致或者参选报价呈规律性差异；</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70FAE0F1">
      <w:pPr>
        <w:numPr>
          <w:ilvl w:val="2"/>
          <w:numId w:val="7"/>
        </w:numPr>
        <w:spacing w:line="240" w:lineRule="auto"/>
        <w:ind w:left="0" w:firstLine="540"/>
        <w:rPr>
          <w:rFonts w:ascii="宋体" w:hAnsi="宋体" w:cs="宋体"/>
          <w:color w:val="auto"/>
          <w:highlight w:val="none"/>
        </w:rPr>
      </w:pPr>
      <w:bookmarkStart w:id="1075" w:name="_Toc535854421"/>
      <w:bookmarkStart w:id="1076" w:name="_Toc511916200"/>
      <w:bookmarkStart w:id="1077" w:name="_Toc508619502"/>
      <w:bookmarkStart w:id="1078" w:name="_Toc2418"/>
      <w:bookmarkStart w:id="1079" w:name="_Toc535418398"/>
      <w:bookmarkStart w:id="1080" w:name="_Toc23643"/>
      <w:bookmarkStart w:id="1081" w:name="_Toc508036164"/>
      <w:bookmarkStart w:id="1082" w:name="_Toc29861"/>
      <w:bookmarkStart w:id="1083" w:name="_Toc528659977"/>
      <w:bookmarkStart w:id="1084" w:name="_Toc503962258"/>
      <w:bookmarkStart w:id="1085" w:name="_Toc503962601"/>
      <w:bookmarkStart w:id="1086" w:name="_Toc513631035"/>
      <w:bookmarkStart w:id="1087" w:name="_Toc513112250"/>
      <w:r>
        <w:rPr>
          <w:rFonts w:hint="eastAsia" w:ascii="宋体" w:hAnsi="宋体" w:cs="宋体"/>
          <w:color w:val="auto"/>
          <w:highlight w:val="none"/>
        </w:rPr>
        <w:t>不同参选人的参选文件相互混装；</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6AF7C4F0">
      <w:pPr>
        <w:numPr>
          <w:ilvl w:val="2"/>
          <w:numId w:val="7"/>
        </w:numPr>
        <w:spacing w:line="240" w:lineRule="auto"/>
        <w:ind w:left="0" w:firstLine="540"/>
        <w:rPr>
          <w:rFonts w:ascii="宋体" w:hAnsi="宋体" w:cs="宋体"/>
          <w:color w:val="auto"/>
          <w:highlight w:val="none"/>
        </w:rPr>
      </w:pPr>
      <w:bookmarkStart w:id="1088" w:name="_Toc32066"/>
      <w:bookmarkStart w:id="1089" w:name="_Toc25199"/>
      <w:bookmarkStart w:id="1090" w:name="_Toc513631036"/>
      <w:bookmarkStart w:id="1091" w:name="_Toc503962259"/>
      <w:bookmarkStart w:id="1092" w:name="_Toc511916201"/>
      <w:bookmarkStart w:id="1093" w:name="_Toc508036165"/>
      <w:bookmarkStart w:id="1094" w:name="_Toc535854422"/>
      <w:bookmarkStart w:id="1095" w:name="_Toc535418399"/>
      <w:bookmarkStart w:id="1096" w:name="_Toc513112251"/>
      <w:bookmarkStart w:id="1097" w:name="_Toc528659978"/>
      <w:bookmarkStart w:id="1098" w:name="_Toc2814"/>
      <w:bookmarkStart w:id="1099" w:name="_Toc503962602"/>
      <w:bookmarkStart w:id="1100" w:name="_Toc508619503"/>
      <w:r>
        <w:rPr>
          <w:rFonts w:hint="eastAsia" w:ascii="宋体" w:hAnsi="宋体" w:cs="宋体"/>
          <w:color w:val="auto"/>
          <w:highlight w:val="none"/>
        </w:rPr>
        <w:t>不同参选人的参选保证金从同一单位或者个人的账户转出；</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6FC4D71">
      <w:pPr>
        <w:numPr>
          <w:ilvl w:val="2"/>
          <w:numId w:val="7"/>
        </w:numPr>
        <w:spacing w:line="240" w:lineRule="auto"/>
        <w:ind w:left="0" w:firstLine="540"/>
        <w:rPr>
          <w:rFonts w:ascii="宋体" w:hAnsi="宋体" w:cs="宋体"/>
          <w:color w:val="auto"/>
          <w:highlight w:val="none"/>
        </w:rPr>
      </w:pPr>
      <w:r>
        <w:rPr>
          <w:rFonts w:hint="eastAsia" w:ascii="宋体" w:hAnsi="宋体" w:cs="宋体"/>
          <w:color w:val="auto"/>
          <w:highlight w:val="none"/>
        </w:rPr>
        <w:t>参选</w:t>
      </w:r>
      <w:r>
        <w:rPr>
          <w:rFonts w:ascii="宋体" w:hAnsi="宋体" w:cs="宋体"/>
          <w:color w:val="auto"/>
          <w:highlight w:val="none"/>
        </w:rPr>
        <w:t>人未按照</w:t>
      </w:r>
      <w:r>
        <w:rPr>
          <w:rFonts w:hint="eastAsia" w:ascii="宋体" w:hAnsi="宋体" w:cs="宋体"/>
          <w:color w:val="auto"/>
          <w:highlight w:val="none"/>
        </w:rPr>
        <w:t>参选</w:t>
      </w:r>
      <w:r>
        <w:rPr>
          <w:rFonts w:ascii="宋体" w:hAnsi="宋体" w:cs="宋体"/>
          <w:color w:val="auto"/>
          <w:highlight w:val="none"/>
        </w:rPr>
        <w:t>文件要求提交</w:t>
      </w:r>
      <w:r>
        <w:rPr>
          <w:rFonts w:hint="eastAsia" w:ascii="宋体" w:hAnsi="宋体" w:cs="宋体"/>
          <w:color w:val="auto"/>
          <w:highlight w:val="none"/>
        </w:rPr>
        <w:t>参选</w:t>
      </w:r>
      <w:r>
        <w:rPr>
          <w:rFonts w:ascii="宋体" w:hAnsi="宋体" w:cs="宋体"/>
          <w:color w:val="auto"/>
          <w:highlight w:val="none"/>
        </w:rPr>
        <w:t>保证金的。</w:t>
      </w:r>
    </w:p>
    <w:p w14:paraId="249CF0BF">
      <w:pPr>
        <w:widowControl w:val="0"/>
        <w:numPr>
          <w:ilvl w:val="0"/>
          <w:numId w:val="4"/>
        </w:numPr>
        <w:spacing w:line="240" w:lineRule="auto"/>
        <w:ind w:left="567" w:hanging="27"/>
        <w:outlineLvl w:val="1"/>
        <w:rPr>
          <w:rFonts w:ascii="宋体" w:hAnsi="宋体" w:cs="宋体"/>
          <w:b/>
          <w:color w:val="auto"/>
          <w:highlight w:val="none"/>
        </w:rPr>
      </w:pPr>
      <w:bookmarkStart w:id="1101" w:name="_Toc585"/>
      <w:bookmarkStart w:id="1102" w:name="_Toc14055"/>
      <w:bookmarkStart w:id="1103" w:name="_Toc12670"/>
      <w:bookmarkStart w:id="1104" w:name="_Toc1491"/>
      <w:r>
        <w:rPr>
          <w:rFonts w:hint="eastAsia" w:ascii="宋体" w:hAnsi="宋体" w:cs="宋体"/>
          <w:b/>
          <w:color w:val="auto"/>
          <w:highlight w:val="none"/>
        </w:rPr>
        <w:t>本次评审采用综合评分法。评审以遴选文件规定的条件为依据。</w:t>
      </w:r>
      <w:bookmarkEnd w:id="1101"/>
      <w:bookmarkEnd w:id="1102"/>
      <w:bookmarkEnd w:id="1103"/>
      <w:bookmarkEnd w:id="1104"/>
      <w:bookmarkStart w:id="1105" w:name="_Toc2692"/>
      <w:bookmarkStart w:id="1106" w:name="_Toc508036166"/>
      <w:bookmarkStart w:id="1107" w:name="_Toc482959128"/>
      <w:bookmarkStart w:id="1108" w:name="_Toc500260931"/>
      <w:bookmarkStart w:id="1109" w:name="_Toc528659979"/>
      <w:bookmarkStart w:id="1110" w:name="_Toc535418400"/>
      <w:bookmarkStart w:id="1111" w:name="_Toc475462275"/>
      <w:bookmarkStart w:id="1112" w:name="_Toc2829"/>
      <w:bookmarkStart w:id="1113" w:name="_Toc10327"/>
      <w:bookmarkStart w:id="1114" w:name="_Toc513112252"/>
      <w:bookmarkStart w:id="1115" w:name="_Toc475463113"/>
      <w:bookmarkStart w:id="1116" w:name="_Toc23523"/>
      <w:bookmarkStart w:id="1117" w:name="_Toc101843129"/>
      <w:bookmarkStart w:id="1118" w:name="_Toc101771376"/>
      <w:bookmarkStart w:id="1119" w:name="_Toc475456412"/>
      <w:bookmarkStart w:id="1120" w:name="_Toc101775129"/>
      <w:bookmarkStart w:id="1121" w:name="_Toc508619504"/>
      <w:bookmarkStart w:id="1122" w:name="_Toc13059"/>
      <w:bookmarkStart w:id="1123" w:name="_Toc494188734"/>
      <w:bookmarkStart w:id="1124" w:name="_Toc484599486"/>
      <w:bookmarkStart w:id="1125" w:name="_Toc101951267"/>
      <w:bookmarkStart w:id="1126" w:name="_Toc535854423"/>
      <w:bookmarkStart w:id="1127" w:name="_Toc511916202"/>
      <w:bookmarkStart w:id="1128" w:name="_Toc513631037"/>
      <w:bookmarkStart w:id="1129" w:name="_Toc16712"/>
    </w:p>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14:paraId="29B25456">
      <w:pPr>
        <w:numPr>
          <w:ilvl w:val="1"/>
          <w:numId w:val="8"/>
        </w:numPr>
        <w:spacing w:line="240" w:lineRule="auto"/>
        <w:rPr>
          <w:rFonts w:ascii="宋体" w:hAnsi="宋体" w:cs="宋体"/>
          <w:b/>
          <w:color w:val="auto"/>
          <w:highlight w:val="none"/>
        </w:rPr>
      </w:pPr>
      <w:r>
        <w:rPr>
          <w:rFonts w:hint="eastAsia" w:ascii="宋体" w:hAnsi="宋体" w:cs="宋体"/>
          <w:b/>
          <w:color w:val="auto"/>
          <w:highlight w:val="none"/>
        </w:rPr>
        <w:t>参选人资格、符合性审查</w:t>
      </w:r>
    </w:p>
    <w:p w14:paraId="7CAC7A8D">
      <w:pPr>
        <w:numPr>
          <w:ilvl w:val="0"/>
          <w:numId w:val="9"/>
        </w:numPr>
        <w:tabs>
          <w:tab w:val="left" w:pos="0"/>
          <w:tab w:val="left" w:pos="709"/>
          <w:tab w:val="clear" w:pos="840"/>
        </w:tabs>
        <w:spacing w:line="240" w:lineRule="auto"/>
        <w:ind w:left="0" w:firstLine="420"/>
        <w:jc w:val="both"/>
        <w:rPr>
          <w:rFonts w:ascii="宋体" w:hAnsi="宋体" w:cs="宋体"/>
          <w:color w:val="auto"/>
          <w:highlight w:val="none"/>
        </w:rPr>
      </w:pPr>
      <w:r>
        <w:rPr>
          <w:rFonts w:hint="eastAsia" w:ascii="宋体" w:hAnsi="宋体" w:cs="宋体"/>
          <w:color w:val="auto"/>
          <w:highlight w:val="none"/>
        </w:rPr>
        <w:t>评审委员会根据《资格性审查表》（附表一）内容逐条对参选文件的资格性进行评审，审查每份参选文件是否满足参选人资格要求。</w:t>
      </w:r>
    </w:p>
    <w:p w14:paraId="58CBE938">
      <w:pPr>
        <w:numPr>
          <w:ilvl w:val="0"/>
          <w:numId w:val="9"/>
        </w:numPr>
        <w:tabs>
          <w:tab w:val="left" w:pos="0"/>
          <w:tab w:val="left" w:pos="720"/>
          <w:tab w:val="clear" w:pos="840"/>
        </w:tabs>
        <w:spacing w:line="240" w:lineRule="auto"/>
        <w:ind w:left="0" w:firstLine="420"/>
        <w:jc w:val="both"/>
        <w:rPr>
          <w:rFonts w:ascii="宋体" w:hAnsi="宋体" w:cs="宋体"/>
          <w:color w:val="auto"/>
          <w:highlight w:val="none"/>
        </w:rPr>
      </w:pPr>
      <w:r>
        <w:rPr>
          <w:rFonts w:hint="eastAsia" w:ascii="宋体" w:hAnsi="宋体" w:cs="宋体"/>
          <w:color w:val="auto"/>
          <w:highlight w:val="none"/>
        </w:rPr>
        <w:t>评审委员会根据《符合性审查表》（附表二）内容逐条对参选文件进行符合性评审，审查每份参选文件是否符合遴选文件的商务技术等实质性要求。对符合性评审认定意见不一致的，评审委员会按简单多数原则表决决定。</w:t>
      </w:r>
    </w:p>
    <w:p w14:paraId="051753EB">
      <w:pPr>
        <w:numPr>
          <w:ilvl w:val="0"/>
          <w:numId w:val="9"/>
        </w:numPr>
        <w:tabs>
          <w:tab w:val="left" w:pos="0"/>
          <w:tab w:val="left" w:pos="720"/>
          <w:tab w:val="clear" w:pos="840"/>
        </w:tabs>
        <w:spacing w:line="240" w:lineRule="auto"/>
        <w:ind w:left="0" w:firstLine="420"/>
        <w:jc w:val="both"/>
        <w:rPr>
          <w:rFonts w:ascii="宋体" w:hAnsi="宋体" w:cs="宋体"/>
          <w:color w:val="auto"/>
          <w:highlight w:val="none"/>
        </w:rPr>
      </w:pPr>
      <w:r>
        <w:rPr>
          <w:rFonts w:hint="eastAsia" w:ascii="宋体" w:hAnsi="宋体" w:cs="宋体"/>
          <w:color w:val="auto"/>
          <w:highlight w:val="none"/>
        </w:rPr>
        <w:t>只有全部满足《资格性审查表》及《符合性审查表》所列各项要求的参选才是有效参选，只要不满足上述所列各项要求之一的，将被认定为无效参选。无效参选不能进入服务、商务及价格评审。</w:t>
      </w:r>
    </w:p>
    <w:p w14:paraId="1798DE7D">
      <w:pPr>
        <w:numPr>
          <w:ilvl w:val="1"/>
          <w:numId w:val="8"/>
        </w:numPr>
        <w:spacing w:line="240" w:lineRule="auto"/>
        <w:rPr>
          <w:rFonts w:ascii="宋体" w:hAnsi="宋体" w:cs="宋体"/>
          <w:b/>
          <w:color w:val="auto"/>
          <w:highlight w:val="none"/>
        </w:rPr>
      </w:pPr>
      <w:r>
        <w:rPr>
          <w:rFonts w:hint="eastAsia" w:ascii="宋体" w:hAnsi="宋体" w:cs="宋体"/>
          <w:b/>
          <w:color w:val="auto"/>
          <w:highlight w:val="none"/>
        </w:rPr>
        <w:t>商务、技术评审</w:t>
      </w:r>
    </w:p>
    <w:p w14:paraId="78D9EA27">
      <w:pPr>
        <w:tabs>
          <w:tab w:val="left" w:pos="0"/>
          <w:tab w:val="left" w:pos="720"/>
          <w:tab w:val="left" w:pos="1080"/>
        </w:tabs>
        <w:spacing w:line="240" w:lineRule="auto"/>
        <w:ind w:firstLine="420" w:firstLineChars="200"/>
        <w:jc w:val="both"/>
        <w:rPr>
          <w:rFonts w:ascii="宋体" w:hAnsi="宋体" w:cs="宋体"/>
          <w:color w:val="auto"/>
          <w:highlight w:val="none"/>
        </w:rPr>
      </w:pPr>
      <w:r>
        <w:rPr>
          <w:rFonts w:hint="eastAsia" w:ascii="宋体" w:hAnsi="宋体" w:cs="宋体"/>
          <w:color w:val="auto"/>
          <w:highlight w:val="none"/>
        </w:rPr>
        <w:t>由评委对所有有效参选文件的商务、技术响应进行审核和评价，填写《商务评分表》（附表三）、《技术评分表》（附表四）。</w:t>
      </w:r>
    </w:p>
    <w:p w14:paraId="1AA463C1">
      <w:pPr>
        <w:numPr>
          <w:ilvl w:val="1"/>
          <w:numId w:val="8"/>
        </w:numPr>
        <w:spacing w:line="240" w:lineRule="auto"/>
        <w:rPr>
          <w:rFonts w:ascii="宋体" w:hAnsi="宋体" w:cs="宋体"/>
          <w:b/>
          <w:color w:val="auto"/>
          <w:highlight w:val="none"/>
        </w:rPr>
      </w:pPr>
      <w:r>
        <w:rPr>
          <w:rFonts w:hint="eastAsia" w:ascii="宋体" w:hAnsi="宋体" w:cs="宋体"/>
          <w:b/>
          <w:color w:val="auto"/>
          <w:highlight w:val="none"/>
        </w:rPr>
        <w:t>价格评审</w:t>
      </w:r>
    </w:p>
    <w:p w14:paraId="5BA02008">
      <w:pPr>
        <w:numPr>
          <w:ilvl w:val="0"/>
          <w:numId w:val="10"/>
        </w:numPr>
        <w:tabs>
          <w:tab w:val="left" w:pos="0"/>
          <w:tab w:val="left" w:pos="720"/>
          <w:tab w:val="left" w:pos="1080"/>
          <w:tab w:val="clear" w:pos="840"/>
        </w:tabs>
        <w:spacing w:line="240" w:lineRule="auto"/>
        <w:ind w:left="0" w:firstLine="420"/>
        <w:jc w:val="both"/>
        <w:rPr>
          <w:rFonts w:ascii="宋体" w:hAnsi="宋体" w:cs="宋体"/>
          <w:color w:val="auto"/>
          <w:highlight w:val="none"/>
        </w:rPr>
      </w:pPr>
      <w:r>
        <w:rPr>
          <w:rFonts w:hint="eastAsia" w:ascii="宋体" w:hAnsi="宋体" w:cs="宋体"/>
          <w:color w:val="auto"/>
          <w:highlight w:val="none"/>
        </w:rPr>
        <w:t>参选报价错误的处理原则：</w:t>
      </w:r>
    </w:p>
    <w:p w14:paraId="0E382A77">
      <w:pPr>
        <w:tabs>
          <w:tab w:val="left" w:pos="0"/>
          <w:tab w:val="left" w:pos="720"/>
          <w:tab w:val="left" w:pos="1080"/>
        </w:tabs>
        <w:spacing w:line="240" w:lineRule="auto"/>
        <w:ind w:left="420" w:leftChars="200" w:firstLine="420" w:firstLineChars="200"/>
        <w:jc w:val="both"/>
        <w:rPr>
          <w:rFonts w:ascii="宋体" w:hAnsi="宋体" w:cs="宋体"/>
          <w:color w:val="auto"/>
          <w:highlight w:val="none"/>
        </w:rPr>
      </w:pPr>
      <w:r>
        <w:rPr>
          <w:rFonts w:hint="eastAsia" w:ascii="宋体" w:hAnsi="宋体" w:cs="宋体"/>
          <w:color w:val="auto"/>
          <w:highlight w:val="none"/>
        </w:rPr>
        <w:t>（1）参选文件中报价一览表（报价表）内容与参选文件中相应内容不一致的，以报价一览表（报价表）为准；大写金额和小写金额不一致的，以大写金额为准；单价金额小数点或者百分比有明显错位的，以报价一览表的总价为准，并修改单价；总价金额与按单价汇总金额不一致的，以单价金额计算结果为准。同时出现上述两种以上不一致的，按照前款规定的顺序修正。</w:t>
      </w:r>
    </w:p>
    <w:p w14:paraId="3B6505D7">
      <w:pPr>
        <w:tabs>
          <w:tab w:val="left" w:pos="0"/>
          <w:tab w:val="left" w:pos="720"/>
          <w:tab w:val="left" w:pos="1080"/>
        </w:tabs>
        <w:spacing w:line="240" w:lineRule="auto"/>
        <w:ind w:left="420" w:leftChars="200" w:firstLine="420" w:firstLineChars="200"/>
        <w:jc w:val="both"/>
        <w:rPr>
          <w:rFonts w:ascii="宋体" w:hAnsi="宋体" w:cs="宋体"/>
          <w:color w:val="auto"/>
          <w:highlight w:val="none"/>
        </w:rPr>
      </w:pPr>
      <w:r>
        <w:rPr>
          <w:rFonts w:hint="eastAsia" w:ascii="宋体" w:hAnsi="宋体" w:cs="宋体"/>
          <w:color w:val="auto"/>
          <w:highlight w:val="none"/>
        </w:rPr>
        <w:t>（2）以上修正后的报价应当经参选人采用书面形式，并加盖公章，或者由法定代表人或其授权的代表签字确认，并对参选人产生约束力，参选人不确认的，其参选无效。</w:t>
      </w:r>
    </w:p>
    <w:p w14:paraId="5A1C2026">
      <w:pPr>
        <w:numPr>
          <w:ilvl w:val="0"/>
          <w:numId w:val="10"/>
        </w:numPr>
        <w:tabs>
          <w:tab w:val="left" w:pos="0"/>
          <w:tab w:val="left" w:pos="720"/>
          <w:tab w:val="left" w:pos="1080"/>
          <w:tab w:val="clear" w:pos="840"/>
        </w:tabs>
        <w:spacing w:line="240" w:lineRule="auto"/>
        <w:ind w:left="0" w:firstLine="420"/>
        <w:jc w:val="both"/>
        <w:rPr>
          <w:rFonts w:ascii="宋体" w:hAnsi="宋体" w:cs="宋体"/>
          <w:color w:val="auto"/>
          <w:highlight w:val="none"/>
        </w:rPr>
      </w:pPr>
      <w:r>
        <w:rPr>
          <w:rFonts w:hint="eastAsia" w:ascii="宋体" w:hAnsi="宋体" w:cs="宋体"/>
          <w:color w:val="auto"/>
          <w:highlight w:val="none"/>
        </w:rPr>
        <w:t>计算价格评分：以参选报价作为评审的依据，金额的中文大写与阿拉伯数字不一致时，以中文大写为准</w:t>
      </w:r>
      <w:r>
        <w:rPr>
          <w:rFonts w:hint="eastAsia" w:ascii="宋体" w:hAnsi="宋体" w:cs="宋体"/>
          <w:color w:val="auto"/>
          <w:highlight w:val="none"/>
          <w:lang w:eastAsia="zh-CN"/>
        </w:rPr>
        <w:t>：</w:t>
      </w:r>
    </w:p>
    <w:p w14:paraId="06853774">
      <w:pPr>
        <w:pStyle w:val="34"/>
        <w:spacing w:line="240" w:lineRule="auto"/>
        <w:ind w:firstLine="630" w:firstLineChars="300"/>
        <w:rPr>
          <w:rFonts w:hint="eastAsia" w:eastAsia="宋体"/>
          <w:color w:val="auto"/>
          <w:highlight w:val="none"/>
          <w:lang w:eastAsia="zh-CN"/>
        </w:rPr>
      </w:pPr>
      <w:r>
        <w:rPr>
          <w:rFonts w:hint="eastAsia" w:eastAsia="宋体"/>
          <w:color w:val="auto"/>
          <w:highlight w:val="none"/>
          <w:lang w:eastAsia="zh-CN"/>
        </w:rPr>
        <w:t>（</w:t>
      </w:r>
      <w:r>
        <w:rPr>
          <w:rFonts w:hint="eastAsia" w:eastAsia="宋体"/>
          <w:color w:val="auto"/>
          <w:highlight w:val="none"/>
          <w:lang w:val="en-US" w:eastAsia="zh-CN"/>
        </w:rPr>
        <w:t>1</w:t>
      </w:r>
      <w:r>
        <w:rPr>
          <w:rFonts w:hint="eastAsia" w:eastAsia="宋体"/>
          <w:color w:val="auto"/>
          <w:highlight w:val="none"/>
          <w:lang w:eastAsia="zh-CN"/>
        </w:rPr>
        <w:t>）</w:t>
      </w:r>
      <w:r>
        <w:rPr>
          <w:rFonts w:hint="eastAsia" w:eastAsia="宋体"/>
          <w:color w:val="auto"/>
          <w:highlight w:val="none"/>
          <w:lang w:val="en-US" w:eastAsia="zh-CN"/>
        </w:rPr>
        <w:t>报价方式采用投标总价的，</w:t>
      </w:r>
      <w:r>
        <w:rPr>
          <w:rFonts w:hint="eastAsia" w:ascii="宋体" w:hAnsi="宋体" w:cs="宋体"/>
          <w:color w:val="auto"/>
          <w:highlight w:val="none"/>
        </w:rPr>
        <w:t>参选人价格得分评分方法如下</w:t>
      </w:r>
    </w:p>
    <w:p w14:paraId="01D46EE4">
      <w:pPr>
        <w:pStyle w:val="34"/>
        <w:spacing w:line="240" w:lineRule="auto"/>
        <w:ind w:firstLine="630" w:firstLineChars="300"/>
        <w:rPr>
          <w:color w:val="auto"/>
          <w:highlight w:val="none"/>
        </w:rPr>
      </w:pPr>
      <w:r>
        <w:rPr>
          <w:rFonts w:hint="eastAsia"/>
          <w:color w:val="auto"/>
          <w:highlight w:val="none"/>
        </w:rPr>
        <w:t>投标报价得分＝（评标基准价/投标报价）×价格分值【注：满足招标文件要求且投标价格最低的投标报价为评标基准价。】最低报价不是中</w:t>
      </w:r>
      <w:r>
        <w:rPr>
          <w:rFonts w:hint="eastAsia" w:eastAsia="宋体"/>
          <w:color w:val="auto"/>
          <w:highlight w:val="none"/>
          <w:lang w:val="en-US" w:eastAsia="zh-CN"/>
        </w:rPr>
        <w:t>选</w:t>
      </w:r>
      <w:r>
        <w:rPr>
          <w:rFonts w:hint="eastAsia"/>
          <w:color w:val="auto"/>
          <w:highlight w:val="none"/>
        </w:rPr>
        <w:t>的唯一依据。</w:t>
      </w:r>
    </w:p>
    <w:p w14:paraId="0939E88F">
      <w:pPr>
        <w:tabs>
          <w:tab w:val="left" w:pos="0"/>
          <w:tab w:val="left" w:pos="720"/>
          <w:tab w:val="left" w:pos="1080"/>
        </w:tabs>
        <w:spacing w:line="240" w:lineRule="auto"/>
        <w:ind w:left="420" w:leftChars="200" w:firstLine="420" w:firstLineChars="200"/>
        <w:jc w:val="both"/>
        <w:rPr>
          <w:rFonts w:hint="eastAsia"/>
          <w:color w:val="auto"/>
          <w:highlight w:val="none"/>
        </w:rPr>
      </w:pPr>
    </w:p>
    <w:p w14:paraId="5BF5B44C">
      <w:pPr>
        <w:numPr>
          <w:ilvl w:val="1"/>
          <w:numId w:val="8"/>
        </w:numPr>
        <w:spacing w:line="240" w:lineRule="auto"/>
        <w:rPr>
          <w:rFonts w:ascii="宋体" w:hAnsi="宋体" w:cs="宋体"/>
          <w:b/>
          <w:color w:val="auto"/>
          <w:highlight w:val="none"/>
        </w:rPr>
      </w:pPr>
      <w:r>
        <w:rPr>
          <w:rFonts w:hint="eastAsia" w:ascii="宋体" w:hAnsi="宋体" w:cs="宋体"/>
          <w:b/>
          <w:color w:val="auto"/>
          <w:highlight w:val="none"/>
        </w:rPr>
        <w:t>评审总得分及统计：</w:t>
      </w:r>
    </w:p>
    <w:p w14:paraId="301FC1F8">
      <w:pPr>
        <w:tabs>
          <w:tab w:val="left" w:pos="0"/>
          <w:tab w:val="left" w:pos="720"/>
          <w:tab w:val="left" w:pos="1080"/>
        </w:tabs>
        <w:spacing w:line="240" w:lineRule="auto"/>
        <w:ind w:firstLine="840" w:firstLineChars="400"/>
        <w:jc w:val="both"/>
        <w:rPr>
          <w:rFonts w:ascii="宋体" w:hAnsi="宋体" w:cs="宋体"/>
          <w:color w:val="auto"/>
          <w:highlight w:val="none"/>
        </w:rPr>
      </w:pPr>
      <w:r>
        <w:rPr>
          <w:rFonts w:hint="eastAsia" w:ascii="宋体" w:hAnsi="宋体" w:cs="宋体"/>
          <w:color w:val="auto"/>
          <w:highlight w:val="none"/>
        </w:rPr>
        <w:t>各评委的评分的算术平均值即为该参选人的商务技术得分。</w:t>
      </w:r>
    </w:p>
    <w:p w14:paraId="4234AA5E">
      <w:pPr>
        <w:tabs>
          <w:tab w:val="left" w:pos="0"/>
          <w:tab w:val="left" w:pos="720"/>
          <w:tab w:val="left" w:pos="1080"/>
        </w:tabs>
        <w:spacing w:line="240" w:lineRule="auto"/>
        <w:ind w:left="420" w:leftChars="200" w:firstLine="420" w:firstLineChars="200"/>
        <w:jc w:val="both"/>
        <w:rPr>
          <w:rFonts w:ascii="宋体" w:hAnsi="宋体" w:cs="宋体"/>
          <w:color w:val="auto"/>
          <w:highlight w:val="none"/>
        </w:rPr>
      </w:pPr>
      <w:r>
        <w:rPr>
          <w:rFonts w:hint="eastAsia" w:ascii="宋体" w:hAnsi="宋体" w:cs="宋体"/>
          <w:color w:val="auto"/>
          <w:highlight w:val="none"/>
        </w:rPr>
        <w:t>评审总得分=商务得分+技术得分</w:t>
      </w:r>
      <w:r>
        <w:rPr>
          <w:rFonts w:hint="eastAsia" w:ascii="宋体" w:hAnsi="宋体" w:cs="宋体"/>
          <w:color w:val="auto"/>
          <w:highlight w:val="none"/>
          <w:lang w:val="en-US" w:eastAsia="zh-CN"/>
        </w:rPr>
        <w:t>+</w:t>
      </w:r>
      <w:r>
        <w:rPr>
          <w:rFonts w:hint="eastAsia" w:ascii="宋体" w:hAnsi="宋体" w:cs="宋体"/>
          <w:color w:val="auto"/>
          <w:highlight w:val="none"/>
        </w:rPr>
        <w:t>价格得分（评审总得分分值按四舍五入原则精确到小数点后四位）。</w:t>
      </w:r>
    </w:p>
    <w:p w14:paraId="4F80FDBF">
      <w:pPr>
        <w:numPr>
          <w:ilvl w:val="1"/>
          <w:numId w:val="8"/>
        </w:numPr>
        <w:spacing w:line="240" w:lineRule="auto"/>
        <w:rPr>
          <w:rFonts w:ascii="宋体" w:hAnsi="宋体" w:cs="宋体"/>
          <w:b/>
          <w:color w:val="auto"/>
          <w:highlight w:val="none"/>
        </w:rPr>
      </w:pPr>
      <w:r>
        <w:rPr>
          <w:rFonts w:hint="eastAsia" w:ascii="宋体" w:hAnsi="宋体" w:cs="宋体"/>
          <w:b/>
          <w:color w:val="auto"/>
          <w:highlight w:val="none"/>
        </w:rPr>
        <w:t>评审结果汇总完成后，除下列情形外，任何人不得修改评审结果：</w:t>
      </w:r>
    </w:p>
    <w:p w14:paraId="57BEFEAB">
      <w:pPr>
        <w:tabs>
          <w:tab w:val="left" w:pos="0"/>
          <w:tab w:val="left" w:pos="720"/>
          <w:tab w:val="left" w:pos="1080"/>
        </w:tabs>
        <w:spacing w:line="240" w:lineRule="auto"/>
        <w:ind w:firstLine="420" w:firstLineChars="200"/>
        <w:jc w:val="both"/>
        <w:rPr>
          <w:rFonts w:ascii="宋体" w:hAnsi="宋体" w:cs="宋体"/>
          <w:color w:val="auto"/>
          <w:highlight w:val="none"/>
        </w:rPr>
      </w:pPr>
      <w:r>
        <w:rPr>
          <w:rFonts w:hint="eastAsia" w:ascii="宋体" w:hAnsi="宋体" w:cs="宋体"/>
          <w:color w:val="auto"/>
          <w:highlight w:val="none"/>
        </w:rPr>
        <w:t>（1）分值汇总计算错误的；</w:t>
      </w:r>
    </w:p>
    <w:p w14:paraId="07FF5B28">
      <w:pPr>
        <w:tabs>
          <w:tab w:val="left" w:pos="0"/>
          <w:tab w:val="left" w:pos="720"/>
          <w:tab w:val="left" w:pos="1080"/>
        </w:tabs>
        <w:spacing w:line="240" w:lineRule="auto"/>
        <w:ind w:firstLine="420" w:firstLineChars="200"/>
        <w:jc w:val="both"/>
        <w:rPr>
          <w:rFonts w:ascii="宋体" w:hAnsi="宋体" w:cs="宋体"/>
          <w:color w:val="auto"/>
          <w:highlight w:val="none"/>
        </w:rPr>
      </w:pPr>
      <w:r>
        <w:rPr>
          <w:rFonts w:hint="eastAsia" w:ascii="宋体" w:hAnsi="宋体" w:cs="宋体"/>
          <w:color w:val="auto"/>
          <w:highlight w:val="none"/>
        </w:rPr>
        <w:t>（2）分项评分超出评分标准范围的；</w:t>
      </w:r>
    </w:p>
    <w:p w14:paraId="0EB53E69">
      <w:pPr>
        <w:tabs>
          <w:tab w:val="left" w:pos="0"/>
          <w:tab w:val="left" w:pos="720"/>
          <w:tab w:val="left" w:pos="1080"/>
        </w:tabs>
        <w:spacing w:line="240" w:lineRule="auto"/>
        <w:ind w:firstLine="420" w:firstLineChars="200"/>
        <w:jc w:val="both"/>
        <w:rPr>
          <w:rFonts w:ascii="宋体" w:hAnsi="宋体" w:cs="宋体"/>
          <w:color w:val="auto"/>
          <w:highlight w:val="none"/>
        </w:rPr>
      </w:pPr>
      <w:r>
        <w:rPr>
          <w:rFonts w:hint="eastAsia" w:ascii="宋体" w:hAnsi="宋体" w:cs="宋体"/>
          <w:color w:val="auto"/>
          <w:highlight w:val="none"/>
        </w:rPr>
        <w:t>（3）评审委员会成员对客观评审因素评分不一致的；</w:t>
      </w:r>
    </w:p>
    <w:p w14:paraId="73A63235">
      <w:pPr>
        <w:tabs>
          <w:tab w:val="left" w:pos="0"/>
          <w:tab w:val="left" w:pos="720"/>
          <w:tab w:val="left" w:pos="1080"/>
        </w:tabs>
        <w:spacing w:line="240" w:lineRule="auto"/>
        <w:ind w:firstLine="420" w:firstLineChars="200"/>
        <w:jc w:val="both"/>
        <w:rPr>
          <w:rFonts w:ascii="宋体" w:hAnsi="宋体" w:cs="宋体"/>
          <w:color w:val="auto"/>
          <w:highlight w:val="none"/>
        </w:rPr>
      </w:pPr>
      <w:r>
        <w:rPr>
          <w:rFonts w:hint="eastAsia" w:ascii="宋体" w:hAnsi="宋体" w:cs="宋体"/>
          <w:color w:val="auto"/>
          <w:highlight w:val="none"/>
        </w:rPr>
        <w:t>（4）经评审委员会认定评分畸高、畸低的。</w:t>
      </w:r>
    </w:p>
    <w:p w14:paraId="54BBD672">
      <w:pPr>
        <w:tabs>
          <w:tab w:val="left" w:pos="0"/>
          <w:tab w:val="left" w:pos="720"/>
          <w:tab w:val="left" w:pos="1080"/>
        </w:tabs>
        <w:spacing w:line="240" w:lineRule="auto"/>
        <w:ind w:firstLine="420" w:firstLineChars="200"/>
        <w:jc w:val="both"/>
        <w:rPr>
          <w:rFonts w:ascii="宋体" w:hAnsi="宋体" w:cs="宋体"/>
          <w:color w:val="auto"/>
          <w:highlight w:val="none"/>
        </w:rPr>
      </w:pPr>
      <w:r>
        <w:rPr>
          <w:rFonts w:hint="eastAsia" w:ascii="宋体" w:hAnsi="宋体" w:cs="宋体"/>
          <w:color w:val="auto"/>
          <w:highlight w:val="none"/>
        </w:rPr>
        <w:t>评审报告签署前，经复核发现存在以上情形之一的，评审委员会应当当场修改评审结果，并在评审报告中记载；评审报告签署后，采购人或者集中采购机构发现存在以上情形之一的，应当组织原评审委员会进行重新评审，重新评审改变评审结果的，书面报告本级财政部门。</w:t>
      </w:r>
    </w:p>
    <w:p w14:paraId="479F5A22">
      <w:pPr>
        <w:numPr>
          <w:ilvl w:val="1"/>
          <w:numId w:val="8"/>
        </w:numPr>
        <w:spacing w:line="240" w:lineRule="auto"/>
        <w:rPr>
          <w:rFonts w:ascii="宋体" w:hAnsi="宋体" w:cs="宋体"/>
          <w:b/>
          <w:color w:val="auto"/>
          <w:highlight w:val="none"/>
        </w:rPr>
      </w:pPr>
      <w:bookmarkStart w:id="1501" w:name="_GoBack"/>
      <w:r>
        <w:rPr>
          <w:rFonts w:hint="eastAsia" w:ascii="宋体" w:hAnsi="宋体" w:cs="宋体"/>
          <w:b/>
          <w:color w:val="auto"/>
          <w:highlight w:val="none"/>
        </w:rPr>
        <w:t>中选候选人</w:t>
      </w:r>
    </w:p>
    <w:p w14:paraId="07AF7A11">
      <w:pPr>
        <w:pStyle w:val="8"/>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highlight w:val="none"/>
          <w:lang w:eastAsia="zh-CN"/>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递交参选文件的供应商或通过初审的供应商达到</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家或以上时：</w:t>
      </w:r>
      <w:r>
        <w:rPr>
          <w:rFonts w:hint="eastAsia" w:ascii="宋体" w:hAnsi="宋体" w:eastAsia="宋体" w:cs="宋体"/>
          <w:b/>
          <w:bCs/>
          <w:highlight w:val="none"/>
          <w:lang w:eastAsia="zh-CN"/>
        </w:rPr>
        <w:t>本项目推荐</w:t>
      </w:r>
      <w:r>
        <w:rPr>
          <w:rFonts w:hint="eastAsia" w:ascii="宋体" w:hAnsi="宋体" w:eastAsia="宋体" w:cs="宋体"/>
          <w:b/>
          <w:bCs/>
          <w:highlight w:val="none"/>
          <w:lang w:val="en-US" w:eastAsia="zh-CN"/>
        </w:rPr>
        <w:t xml:space="preserve"> </w:t>
      </w:r>
      <w:r>
        <w:rPr>
          <w:rFonts w:hint="eastAsia" w:ascii="宋体" w:hAnsi="宋体" w:eastAsia="宋体" w:cs="宋体"/>
          <w:b/>
          <w:bCs/>
          <w:highlight w:val="none"/>
          <w:lang w:eastAsia="zh-CN"/>
        </w:rPr>
        <w:t>二</w:t>
      </w:r>
      <w:r>
        <w:rPr>
          <w:rFonts w:hint="eastAsia" w:ascii="宋体" w:hAnsi="宋体" w:eastAsia="宋体" w:cs="宋体"/>
          <w:b/>
          <w:bCs/>
          <w:highlight w:val="none"/>
          <w:lang w:val="en-US" w:eastAsia="zh-CN"/>
        </w:rPr>
        <w:t xml:space="preserve"> </w:t>
      </w:r>
      <w:r>
        <w:rPr>
          <w:rFonts w:hint="eastAsia" w:ascii="宋体" w:hAnsi="宋体" w:eastAsia="宋体" w:cs="宋体"/>
          <w:b/>
          <w:bCs/>
          <w:highlight w:val="none"/>
          <w:lang w:eastAsia="zh-CN"/>
        </w:rPr>
        <w:t>名中选候选人</w:t>
      </w:r>
      <w:r>
        <w:rPr>
          <w:rFonts w:hint="eastAsia" w:ascii="宋体" w:hAnsi="宋体" w:eastAsia="宋体" w:cs="宋体"/>
          <w:highlight w:val="none"/>
          <w:lang w:eastAsia="zh-CN"/>
        </w:rPr>
        <w:t>。将各有效参选人按其评审总得分由高到低顺序排列，评审委员会根据最终评审的结果，推荐综合得分最高的参选人作为第一中选候选人，得分排名第二的作为第二中选候选人。评审总得分相同的，按下列顺序比较确定：（</w:t>
      </w:r>
      <w:r>
        <w:rPr>
          <w:rFonts w:hint="eastAsia" w:ascii="宋体" w:hAnsi="宋体" w:eastAsia="宋体" w:cs="宋体"/>
          <w:highlight w:val="none"/>
          <w:lang w:val="en-US" w:eastAsia="zh-CN"/>
        </w:rPr>
        <w:t>1</w:t>
      </w:r>
      <w:r>
        <w:rPr>
          <w:rFonts w:hint="eastAsia" w:ascii="宋体" w:hAnsi="宋体" w:eastAsia="宋体" w:cs="宋体"/>
          <w:highlight w:val="none"/>
          <w:lang w:eastAsia="zh-CN"/>
        </w:rPr>
        <w:t>）技术得分（由高到低）；（</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参选报价（由低到高）。如以上都相同的，名次由评审委员会抽签确定。使用综合评分法的采购项目，提供相同品牌产品且通过资格审查、符合性审查的不同参选人参加同一合同项下参选的，按一家参选人计算，评审后得分最高的同品牌参选人获得中选人推荐资格；评审得分相同的，由采购人或者采购人委托评审委员会按下列顺序比较确定：（1）技术评分（由高到低）；（2）参选报价（由低到高）或（下浮率由高到低）；如以上都相同的，名次委托评审委员会采取随机抽取方式确定。</w:t>
      </w:r>
    </w:p>
    <w:p w14:paraId="24EB955C">
      <w:pPr>
        <w:keepNext w:val="0"/>
        <w:keepLines w:val="0"/>
        <w:pageBreakBefore w:val="0"/>
        <w:numPr>
          <w:ilvl w:val="0"/>
          <w:numId w:val="0"/>
        </w:numPr>
        <w:tabs>
          <w:tab w:val="left" w:pos="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递交参选文件的供应商或通过初审的供应商只有两家时：</w:t>
      </w:r>
      <w:r>
        <w:rPr>
          <w:rFonts w:hint="eastAsia" w:ascii="宋体" w:hAnsi="宋体" w:eastAsia="宋体" w:cs="宋体"/>
          <w:b/>
          <w:color w:val="auto"/>
          <w:highlight w:val="none"/>
        </w:rPr>
        <w:t>本项目推荐</w:t>
      </w:r>
      <w:r>
        <w:rPr>
          <w:rFonts w:hint="eastAsia" w:ascii="宋体" w:hAnsi="宋体" w:eastAsia="宋体" w:cs="宋体"/>
          <w:b/>
          <w:color w:val="auto"/>
          <w:highlight w:val="none"/>
          <w:lang w:val="en-US" w:eastAsia="zh-CN"/>
        </w:rPr>
        <w:t xml:space="preserve"> </w:t>
      </w:r>
      <w:r>
        <w:rPr>
          <w:rFonts w:hint="eastAsia" w:ascii="宋体" w:hAnsi="宋体" w:eastAsia="宋体" w:cs="宋体"/>
          <w:b/>
          <w:color w:val="auto"/>
          <w:highlight w:val="none"/>
        </w:rPr>
        <w:t>二</w:t>
      </w:r>
      <w:r>
        <w:rPr>
          <w:rFonts w:hint="eastAsia" w:ascii="宋体" w:hAnsi="宋体" w:eastAsia="宋体" w:cs="宋体"/>
          <w:b/>
          <w:color w:val="auto"/>
          <w:highlight w:val="none"/>
          <w:lang w:val="en-US" w:eastAsia="zh-CN"/>
        </w:rPr>
        <w:t xml:space="preserve"> </w:t>
      </w:r>
      <w:r>
        <w:rPr>
          <w:rFonts w:hint="eastAsia" w:ascii="宋体" w:hAnsi="宋体" w:eastAsia="宋体" w:cs="宋体"/>
          <w:b/>
          <w:color w:val="auto"/>
          <w:highlight w:val="none"/>
        </w:rPr>
        <w:t>名中选候选人。</w:t>
      </w:r>
      <w:r>
        <w:rPr>
          <w:rFonts w:hint="eastAsia" w:ascii="宋体" w:hAnsi="宋体" w:eastAsia="宋体" w:cs="宋体"/>
          <w:color w:val="auto"/>
          <w:highlight w:val="none"/>
        </w:rPr>
        <w:t>将各有效参选人按其评审总得分由高到低顺序排列，评审委员会根据最终评审的结果，推荐综合得分最高的参选人作为第一中选候选人，得分排名第二的作为第二中选候选人。评审总得分相同的，按下列顺序比较确定：（</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）技术得分（由高到低）</w:t>
      </w:r>
      <w:r>
        <w:rPr>
          <w:rFonts w:hint="eastAsia" w:ascii="宋体" w:hAnsi="宋体" w:eastAsia="宋体" w:cs="宋体"/>
          <w:color w:val="auto"/>
          <w:highlight w:val="none"/>
          <w:lang w:eastAsia="zh-CN"/>
        </w:rPr>
        <w:t>；</w:t>
      </w: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）参选报价（由低到高）</w:t>
      </w:r>
      <w:r>
        <w:rPr>
          <w:rFonts w:hint="eastAsia" w:ascii="宋体" w:hAnsi="宋体" w:eastAsia="宋体" w:cs="宋体"/>
          <w:color w:val="auto"/>
          <w:highlight w:val="none"/>
        </w:rPr>
        <w:t>。如以上都相同的，名次由评审委员会抽签确定。</w:t>
      </w:r>
    </w:p>
    <w:p w14:paraId="39E91EF0">
      <w:pPr>
        <w:keepNext w:val="0"/>
        <w:keepLines w:val="0"/>
        <w:pageBreakBefore w:val="0"/>
        <w:tabs>
          <w:tab w:val="left" w:pos="0"/>
          <w:tab w:val="left" w:pos="720"/>
          <w:tab w:val="left" w:pos="1080"/>
        </w:tabs>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bCs/>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递交参选文件的供应商或通过初审的供应商只有一家时：</w:t>
      </w:r>
      <w:r>
        <w:rPr>
          <w:rFonts w:hint="eastAsia" w:ascii="宋体" w:hAnsi="宋体" w:eastAsia="宋体" w:cs="宋体"/>
          <w:b/>
          <w:color w:val="auto"/>
          <w:highlight w:val="none"/>
        </w:rPr>
        <w:t>本项目推荐</w:t>
      </w:r>
      <w:r>
        <w:rPr>
          <w:rFonts w:hint="eastAsia" w:ascii="宋体" w:hAnsi="宋体" w:eastAsia="宋体" w:cs="宋体"/>
          <w:b/>
          <w:color w:val="auto"/>
          <w:highlight w:val="none"/>
          <w:lang w:val="en-US" w:eastAsia="zh-CN"/>
        </w:rPr>
        <w:t xml:space="preserve"> 一 </w:t>
      </w:r>
      <w:r>
        <w:rPr>
          <w:rFonts w:hint="eastAsia" w:ascii="宋体" w:hAnsi="宋体" w:eastAsia="宋体" w:cs="宋体"/>
          <w:b/>
          <w:color w:val="auto"/>
          <w:highlight w:val="none"/>
        </w:rPr>
        <w:t>名中选候选人</w:t>
      </w:r>
      <w:r>
        <w:rPr>
          <w:rFonts w:hint="eastAsia" w:ascii="宋体" w:hAnsi="宋体" w:eastAsia="宋体" w:cs="宋体"/>
          <w:color w:val="auto"/>
          <w:highlight w:val="none"/>
        </w:rPr>
        <w:t>。</w:t>
      </w:r>
    </w:p>
    <w:p w14:paraId="0F2CAF5E">
      <w:pPr>
        <w:widowControl w:val="0"/>
        <w:numPr>
          <w:ilvl w:val="0"/>
          <w:numId w:val="4"/>
        </w:numPr>
        <w:spacing w:line="240" w:lineRule="auto"/>
        <w:ind w:left="567" w:hanging="27"/>
        <w:outlineLvl w:val="1"/>
        <w:rPr>
          <w:rFonts w:ascii="宋体" w:hAnsi="宋体" w:cs="宋体"/>
          <w:b/>
          <w:color w:val="auto"/>
          <w:highlight w:val="none"/>
        </w:rPr>
      </w:pPr>
      <w:bookmarkStart w:id="1130" w:name="_Toc8723"/>
      <w:bookmarkStart w:id="1131" w:name="_Toc13613"/>
      <w:bookmarkStart w:id="1132" w:name="_Toc16682"/>
      <w:bookmarkStart w:id="1133" w:name="_Toc18385"/>
      <w:r>
        <w:rPr>
          <w:rFonts w:hint="eastAsia" w:ascii="宋体" w:hAnsi="宋体" w:cs="宋体"/>
          <w:b/>
          <w:color w:val="auto"/>
          <w:highlight w:val="none"/>
        </w:rPr>
        <w:t>定选</w:t>
      </w:r>
      <w:bookmarkEnd w:id="1130"/>
      <w:bookmarkEnd w:id="1131"/>
      <w:bookmarkEnd w:id="1132"/>
      <w:bookmarkEnd w:id="1133"/>
    </w:p>
    <w:p w14:paraId="345F9342">
      <w:pPr>
        <w:numPr>
          <w:ilvl w:val="1"/>
          <w:numId w:val="11"/>
        </w:numPr>
        <w:spacing w:line="240" w:lineRule="auto"/>
        <w:ind w:left="0" w:firstLine="425"/>
        <w:rPr>
          <w:rFonts w:ascii="宋体" w:hAnsi="宋体" w:cs="宋体"/>
          <w:color w:val="auto"/>
          <w:highlight w:val="none"/>
        </w:rPr>
      </w:pPr>
      <w:bookmarkStart w:id="1134" w:name="_Toc508036168"/>
      <w:bookmarkStart w:id="1135" w:name="_Toc526798368"/>
      <w:bookmarkStart w:id="1136" w:name="_Toc503962611"/>
      <w:bookmarkStart w:id="1137" w:name="_Toc508619506"/>
      <w:bookmarkStart w:id="1138" w:name="_Toc527625322"/>
      <w:bookmarkStart w:id="1139" w:name="_Toc519616367"/>
      <w:bookmarkStart w:id="1140" w:name="_Toc478741247"/>
      <w:bookmarkStart w:id="1141" w:name="_Toc495397891"/>
      <w:bookmarkStart w:id="1142" w:name="_Toc27172"/>
      <w:bookmarkStart w:id="1143" w:name="_Toc26396"/>
      <w:bookmarkStart w:id="1144" w:name="_Toc503962268"/>
      <w:bookmarkStart w:id="1145" w:name="_Toc535854425"/>
      <w:bookmarkStart w:id="1146" w:name="_Toc17577"/>
      <w:bookmarkStart w:id="1147" w:name="_Toc14267"/>
      <w:bookmarkStart w:id="1148" w:name="_Toc513134353"/>
      <w:bookmarkStart w:id="1149" w:name="_Toc530581192"/>
      <w:r>
        <w:rPr>
          <w:rFonts w:hint="eastAsia" w:ascii="宋体" w:hAnsi="宋体" w:cs="宋体"/>
          <w:color w:val="auto"/>
          <w:highlight w:val="none"/>
        </w:rPr>
        <w:t>根据评审委员会的评审结果，采购人依法确定中选人。</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389D654D">
      <w:pPr>
        <w:numPr>
          <w:ilvl w:val="1"/>
          <w:numId w:val="11"/>
        </w:numPr>
        <w:spacing w:line="240" w:lineRule="auto"/>
        <w:ind w:left="0" w:firstLine="425"/>
        <w:rPr>
          <w:rFonts w:ascii="宋体" w:hAnsi="宋体" w:cs="宋体"/>
          <w:color w:val="auto"/>
          <w:highlight w:val="none"/>
        </w:rPr>
      </w:pPr>
      <w:bookmarkStart w:id="1150" w:name="_Toc478741250"/>
      <w:bookmarkStart w:id="1151" w:name="_Toc6853"/>
      <w:bookmarkStart w:id="1152" w:name="_Toc526798369"/>
      <w:bookmarkStart w:id="1153" w:name="_Toc503962269"/>
      <w:bookmarkStart w:id="1154" w:name="_Toc530581193"/>
      <w:bookmarkStart w:id="1155" w:name="_Toc2483"/>
      <w:bookmarkStart w:id="1156" w:name="_Toc495397894"/>
      <w:bookmarkStart w:id="1157" w:name="_Toc508036169"/>
      <w:bookmarkStart w:id="1158" w:name="_Toc508619507"/>
      <w:bookmarkStart w:id="1159" w:name="_Toc503962612"/>
      <w:bookmarkStart w:id="1160" w:name="_Toc527625323"/>
      <w:bookmarkStart w:id="1161" w:name="_Toc535854426"/>
      <w:bookmarkStart w:id="1162" w:name="_Toc704"/>
      <w:bookmarkStart w:id="1163" w:name="_Toc789"/>
      <w:bookmarkStart w:id="1164" w:name="_Toc519616368"/>
      <w:bookmarkStart w:id="1165" w:name="_Toc513134354"/>
      <w:r>
        <w:rPr>
          <w:rFonts w:hint="eastAsia" w:ascii="宋体" w:hAnsi="宋体" w:cs="宋体"/>
          <w:color w:val="auto"/>
          <w:highlight w:val="none"/>
        </w:rPr>
        <w:t>采购结果确认后，采购代理机构将中选结果在相关媒体进行公告。</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59FCEC88">
      <w:pPr>
        <w:numPr>
          <w:ilvl w:val="1"/>
          <w:numId w:val="11"/>
        </w:numPr>
        <w:spacing w:line="240" w:lineRule="auto"/>
        <w:ind w:left="0" w:firstLine="425"/>
        <w:rPr>
          <w:rFonts w:ascii="宋体" w:hAnsi="宋体" w:cs="宋体"/>
          <w:color w:val="auto"/>
          <w:highlight w:val="none"/>
        </w:rPr>
      </w:pPr>
      <w:bookmarkStart w:id="1166" w:name="_Toc503962613"/>
      <w:bookmarkStart w:id="1167" w:name="_Toc528659983"/>
      <w:bookmarkStart w:id="1168" w:name="_Toc13432"/>
      <w:bookmarkStart w:id="1169" w:name="_Toc513112256"/>
      <w:bookmarkStart w:id="1170" w:name="_Toc14946"/>
      <w:bookmarkStart w:id="1171" w:name="_Toc508036170"/>
      <w:bookmarkStart w:id="1172" w:name="_Toc535418404"/>
      <w:bookmarkStart w:id="1173" w:name="_Toc511916206"/>
      <w:bookmarkStart w:id="1174" w:name="_Toc508619508"/>
      <w:bookmarkStart w:id="1175" w:name="_Toc513631041"/>
      <w:bookmarkStart w:id="1176" w:name="_Toc5224"/>
      <w:bookmarkStart w:id="1177" w:name="_Toc503962270"/>
      <w:bookmarkStart w:id="1178" w:name="_Toc535854427"/>
      <w:r>
        <w:rPr>
          <w:rFonts w:hint="eastAsia" w:ascii="宋体" w:hAnsi="宋体" w:cs="宋体"/>
          <w:color w:val="auto"/>
          <w:highlight w:val="none"/>
        </w:rPr>
        <w:t>中选结果公告后，采购代理机构以书面形式向中选人发出《中选通知书》。</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A8CDC73">
      <w:pPr>
        <w:numPr>
          <w:ilvl w:val="1"/>
          <w:numId w:val="11"/>
        </w:numPr>
        <w:spacing w:line="240" w:lineRule="auto"/>
        <w:ind w:left="0" w:firstLine="425"/>
        <w:rPr>
          <w:rFonts w:ascii="宋体" w:hAnsi="宋体" w:cs="宋体"/>
          <w:color w:val="auto"/>
          <w:highlight w:val="none"/>
        </w:rPr>
      </w:pPr>
      <w:bookmarkStart w:id="1179" w:name="_Toc503962614"/>
      <w:bookmarkStart w:id="1180" w:name="_Toc475456425"/>
      <w:bookmarkStart w:id="1181" w:name="_Toc1122"/>
      <w:bookmarkStart w:id="1182" w:name="_Toc478741252"/>
      <w:bookmarkStart w:id="1183" w:name="_Toc18833"/>
      <w:bookmarkStart w:id="1184" w:name="_Toc503962271"/>
      <w:bookmarkStart w:id="1185" w:name="_Toc508619509"/>
      <w:bookmarkStart w:id="1186" w:name="_Toc528659984"/>
      <w:bookmarkStart w:id="1187" w:name="_Toc5405"/>
      <w:bookmarkStart w:id="1188" w:name="_Toc511916207"/>
      <w:bookmarkStart w:id="1189" w:name="_Toc513631042"/>
      <w:bookmarkStart w:id="1190" w:name="_Toc535418405"/>
      <w:bookmarkStart w:id="1191" w:name="_Toc475463126"/>
      <w:bookmarkStart w:id="1192" w:name="_Toc495397896"/>
      <w:bookmarkStart w:id="1193" w:name="_Toc513112257"/>
      <w:bookmarkStart w:id="1194" w:name="_Toc535854428"/>
      <w:bookmarkStart w:id="1195" w:name="_Toc508036171"/>
      <w:bookmarkStart w:id="1196" w:name="_Toc475462288"/>
      <w:r>
        <w:rPr>
          <w:rFonts w:hint="eastAsia" w:ascii="宋体" w:hAnsi="宋体" w:cs="宋体"/>
          <w:color w:val="auto"/>
          <w:highlight w:val="none"/>
        </w:rPr>
        <w:t>《中选通知书》是合同的一个组成部分，对采购人和中选人具有同等法律效力；《中选通知书》发出后，采购人改变中选结果，或者中选人放弃中选的，均应承担相应的法律责任。</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FF35F87">
      <w:pPr>
        <w:widowControl w:val="0"/>
        <w:numPr>
          <w:ilvl w:val="0"/>
          <w:numId w:val="4"/>
        </w:numPr>
        <w:spacing w:line="240" w:lineRule="auto"/>
        <w:ind w:left="567" w:hanging="27"/>
        <w:outlineLvl w:val="1"/>
        <w:rPr>
          <w:rFonts w:ascii="宋体" w:hAnsi="宋体" w:cs="宋体"/>
          <w:b/>
          <w:color w:val="auto"/>
          <w:highlight w:val="none"/>
        </w:rPr>
      </w:pPr>
      <w:bookmarkStart w:id="1197" w:name="_Toc535418406"/>
      <w:bookmarkStart w:id="1198" w:name="_Toc513631043"/>
      <w:bookmarkStart w:id="1199" w:name="_Toc29916"/>
      <w:bookmarkStart w:id="1200" w:name="_Toc2396"/>
      <w:bookmarkStart w:id="1201" w:name="_Toc24297"/>
      <w:bookmarkStart w:id="1202" w:name="_Toc14852"/>
      <w:bookmarkStart w:id="1203" w:name="_Toc535854429"/>
      <w:bookmarkStart w:id="1204" w:name="_Toc528659985"/>
      <w:bookmarkStart w:id="1205" w:name="_Toc511747981"/>
      <w:bookmarkStart w:id="1206" w:name="_Toc513112258"/>
      <w:bookmarkStart w:id="1207" w:name="_Toc15109"/>
      <w:bookmarkStart w:id="1208" w:name="_Toc26038"/>
      <w:bookmarkStart w:id="1209" w:name="_Toc511916208"/>
      <w:bookmarkStart w:id="1210" w:name="_Toc11826"/>
      <w:bookmarkStart w:id="1211" w:name="_Toc8550"/>
      <w:bookmarkStart w:id="1212" w:name="_Toc30343"/>
      <w:bookmarkStart w:id="1213" w:name="_Toc3472"/>
      <w:r>
        <w:rPr>
          <w:rFonts w:hint="eastAsia" w:ascii="宋体" w:hAnsi="宋体" w:cs="宋体"/>
          <w:b/>
          <w:color w:val="auto"/>
          <w:highlight w:val="none"/>
        </w:rPr>
        <w:t>遴选失败的情况</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3A7AA84C">
      <w:pPr>
        <w:pStyle w:val="6"/>
        <w:spacing w:line="240" w:lineRule="auto"/>
        <w:ind w:firstLine="420" w:firstLineChars="200"/>
        <w:rPr>
          <w:rFonts w:ascii="宋体" w:hAnsi="宋体" w:cs="宋体"/>
          <w:color w:val="auto"/>
          <w:highlight w:val="none"/>
        </w:rPr>
      </w:pPr>
      <w:r>
        <w:rPr>
          <w:rFonts w:hint="eastAsia" w:ascii="宋体" w:hAnsi="宋体" w:cs="宋体"/>
          <w:color w:val="auto"/>
          <w:highlight w:val="none"/>
        </w:rPr>
        <w:t>本项目遴选出现下列情况之一，将视为遴选失败：</w:t>
      </w:r>
    </w:p>
    <w:p w14:paraId="778A5516">
      <w:pPr>
        <w:pStyle w:val="6"/>
        <w:spacing w:line="240" w:lineRule="auto"/>
        <w:ind w:firstLine="420" w:firstLineChars="200"/>
        <w:rPr>
          <w:rFonts w:ascii="宋体" w:hAnsi="宋体" w:cs="宋体"/>
          <w:color w:val="auto"/>
          <w:highlight w:val="none"/>
        </w:rPr>
      </w:pPr>
      <w:r>
        <w:rPr>
          <w:rFonts w:hint="eastAsia" w:ascii="宋体" w:hAnsi="宋体" w:cs="宋体"/>
          <w:color w:val="auto"/>
          <w:highlight w:val="none"/>
        </w:rPr>
        <w:t>1）参选登记的参选人少于</w:t>
      </w:r>
      <w:r>
        <w:rPr>
          <w:rFonts w:hint="eastAsia" w:ascii="宋体" w:hAnsi="宋体" w:cs="宋体"/>
          <w:color w:val="auto"/>
          <w:highlight w:val="none"/>
          <w:lang w:eastAsia="zh-CN"/>
        </w:rPr>
        <w:t>一</w:t>
      </w:r>
      <w:r>
        <w:rPr>
          <w:rFonts w:hint="eastAsia" w:ascii="宋体" w:hAnsi="宋体" w:cs="宋体"/>
          <w:color w:val="auto"/>
          <w:highlight w:val="none"/>
        </w:rPr>
        <w:t>家的。</w:t>
      </w:r>
    </w:p>
    <w:p w14:paraId="34322808">
      <w:pPr>
        <w:pStyle w:val="6"/>
        <w:spacing w:line="240" w:lineRule="auto"/>
        <w:ind w:firstLine="420" w:firstLineChars="200"/>
        <w:rPr>
          <w:rFonts w:ascii="宋体" w:hAnsi="宋体" w:cs="宋体"/>
          <w:color w:val="auto"/>
          <w:highlight w:val="none"/>
        </w:rPr>
      </w:pPr>
      <w:r>
        <w:rPr>
          <w:rFonts w:hint="eastAsia" w:ascii="宋体" w:hAnsi="宋体" w:cs="宋体"/>
          <w:color w:val="auto"/>
          <w:highlight w:val="none"/>
        </w:rPr>
        <w:t>2）至参选截止时间止，递交参选文件的参选人少于</w:t>
      </w:r>
      <w:r>
        <w:rPr>
          <w:rFonts w:hint="eastAsia" w:ascii="宋体" w:hAnsi="宋体" w:cs="宋体"/>
          <w:color w:val="auto"/>
          <w:highlight w:val="none"/>
          <w:lang w:eastAsia="zh-CN"/>
        </w:rPr>
        <w:t>一</w:t>
      </w:r>
      <w:r>
        <w:rPr>
          <w:rFonts w:hint="eastAsia" w:ascii="宋体" w:hAnsi="宋体" w:cs="宋体"/>
          <w:color w:val="auto"/>
          <w:highlight w:val="none"/>
        </w:rPr>
        <w:t>家的。</w:t>
      </w:r>
    </w:p>
    <w:p w14:paraId="019C19F6">
      <w:pPr>
        <w:pStyle w:val="6"/>
        <w:spacing w:line="240" w:lineRule="auto"/>
        <w:ind w:firstLine="420" w:firstLineChars="200"/>
        <w:rPr>
          <w:rFonts w:ascii="宋体" w:hAnsi="宋体" w:cs="宋体"/>
          <w:color w:val="auto"/>
          <w:highlight w:val="none"/>
        </w:rPr>
      </w:pPr>
      <w:r>
        <w:rPr>
          <w:rFonts w:hint="eastAsia" w:ascii="宋体" w:hAnsi="宋体" w:cs="宋体"/>
          <w:color w:val="auto"/>
          <w:highlight w:val="none"/>
        </w:rPr>
        <w:t>3）通过资格性审查的合格参选人不足</w:t>
      </w:r>
      <w:r>
        <w:rPr>
          <w:rFonts w:hint="eastAsia" w:ascii="宋体" w:hAnsi="宋体" w:cs="宋体"/>
          <w:color w:val="auto"/>
          <w:highlight w:val="none"/>
          <w:lang w:eastAsia="zh-CN"/>
        </w:rPr>
        <w:t>一</w:t>
      </w:r>
      <w:r>
        <w:rPr>
          <w:rFonts w:hint="eastAsia" w:ascii="宋体" w:hAnsi="宋体" w:cs="宋体"/>
          <w:color w:val="auto"/>
          <w:highlight w:val="none"/>
        </w:rPr>
        <w:t>家的。</w:t>
      </w:r>
    </w:p>
    <w:p w14:paraId="532A6D61">
      <w:pPr>
        <w:pStyle w:val="6"/>
        <w:spacing w:line="240" w:lineRule="auto"/>
        <w:ind w:firstLine="420" w:firstLineChars="200"/>
        <w:rPr>
          <w:rFonts w:ascii="宋体" w:hAnsi="宋体" w:cs="宋体"/>
          <w:color w:val="auto"/>
          <w:highlight w:val="none"/>
        </w:rPr>
      </w:pPr>
      <w:r>
        <w:rPr>
          <w:rFonts w:hint="eastAsia" w:ascii="宋体" w:hAnsi="宋体" w:cs="宋体"/>
          <w:color w:val="auto"/>
          <w:highlight w:val="none"/>
        </w:rPr>
        <w:t>4）通过符合性审查的合格参选人不足</w:t>
      </w:r>
      <w:r>
        <w:rPr>
          <w:rFonts w:hint="eastAsia" w:ascii="宋体" w:hAnsi="宋体" w:cs="宋体"/>
          <w:color w:val="auto"/>
          <w:highlight w:val="none"/>
          <w:lang w:eastAsia="zh-CN"/>
        </w:rPr>
        <w:t>一</w:t>
      </w:r>
      <w:r>
        <w:rPr>
          <w:rFonts w:hint="eastAsia" w:ascii="宋体" w:hAnsi="宋体" w:cs="宋体"/>
          <w:color w:val="auto"/>
          <w:highlight w:val="none"/>
        </w:rPr>
        <w:t>家的。</w:t>
      </w:r>
    </w:p>
    <w:p w14:paraId="6A39249A">
      <w:pPr>
        <w:pStyle w:val="6"/>
        <w:spacing w:line="240" w:lineRule="auto"/>
        <w:ind w:firstLine="420" w:firstLineChars="200"/>
        <w:rPr>
          <w:color w:val="auto"/>
          <w:highlight w:val="none"/>
        </w:rPr>
      </w:pPr>
      <w:r>
        <w:rPr>
          <w:rFonts w:hint="eastAsia" w:ascii="宋体" w:hAnsi="宋体" w:cs="宋体"/>
          <w:color w:val="auto"/>
          <w:highlight w:val="none"/>
        </w:rPr>
        <w:t>5）出现影响采购公正的违法、违规行为的。</w:t>
      </w:r>
    </w:p>
    <w:bookmarkEnd w:id="1501"/>
    <w:p w14:paraId="13A83BA1">
      <w:pPr>
        <w:spacing w:line="360" w:lineRule="auto"/>
        <w:rPr>
          <w:rFonts w:hint="eastAsia" w:ascii="宋体" w:hAnsi="宋体" w:cs="宋体"/>
          <w:b/>
          <w:color w:val="auto"/>
          <w:highlight w:val="none"/>
        </w:rPr>
      </w:pPr>
      <w:r>
        <w:rPr>
          <w:rFonts w:hint="eastAsia" w:ascii="宋体" w:hAnsi="宋体" w:cs="宋体"/>
          <w:b/>
          <w:color w:val="auto"/>
          <w:highlight w:val="none"/>
        </w:rPr>
        <w:br w:type="page"/>
      </w:r>
    </w:p>
    <w:p w14:paraId="2A56182C">
      <w:pPr>
        <w:pStyle w:val="6"/>
        <w:spacing w:line="360" w:lineRule="auto"/>
        <w:ind w:firstLine="422" w:firstLineChars="200"/>
        <w:rPr>
          <w:rFonts w:ascii="宋体" w:hAnsi="宋体" w:cs="宋体"/>
          <w:b/>
          <w:color w:val="auto"/>
          <w:highlight w:val="none"/>
        </w:rPr>
      </w:pPr>
      <w:r>
        <w:rPr>
          <w:rFonts w:hint="eastAsia" w:ascii="宋体" w:hAnsi="宋体" w:cs="宋体"/>
          <w:b/>
          <w:color w:val="auto"/>
          <w:highlight w:val="none"/>
        </w:rPr>
        <w:t>附表一：</w:t>
      </w:r>
    </w:p>
    <w:p w14:paraId="4AE83EE5">
      <w:pPr>
        <w:pStyle w:val="6"/>
        <w:spacing w:line="360" w:lineRule="auto"/>
        <w:ind w:firstLine="0"/>
        <w:jc w:val="center"/>
        <w:outlineLvl w:val="0"/>
        <w:rPr>
          <w:rFonts w:ascii="宋体" w:hAnsi="宋体" w:cs="宋体"/>
          <w:b/>
          <w:color w:val="auto"/>
          <w:sz w:val="28"/>
          <w:szCs w:val="28"/>
          <w:highlight w:val="none"/>
        </w:rPr>
      </w:pPr>
      <w:bookmarkStart w:id="1214" w:name="_Toc24164"/>
      <w:bookmarkStart w:id="1215" w:name="_Toc16339"/>
      <w:bookmarkStart w:id="1216" w:name="_Toc3479"/>
      <w:bookmarkStart w:id="1217" w:name="_Toc23645"/>
      <w:r>
        <w:rPr>
          <w:rFonts w:hint="eastAsia" w:ascii="宋体" w:hAnsi="宋体" w:cs="宋体"/>
          <w:b/>
          <w:color w:val="auto"/>
          <w:sz w:val="28"/>
          <w:szCs w:val="28"/>
          <w:highlight w:val="none"/>
        </w:rPr>
        <w:t>资格性审查</w:t>
      </w:r>
      <w:bookmarkEnd w:id="1214"/>
      <w:bookmarkEnd w:id="1215"/>
      <w:bookmarkEnd w:id="1216"/>
      <w:bookmarkEnd w:id="1217"/>
    </w:p>
    <w:tbl>
      <w:tblPr>
        <w:tblStyle w:val="2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0" w:type="dxa"/>
          <w:left w:w="150" w:type="dxa"/>
          <w:bottom w:w="150" w:type="dxa"/>
          <w:right w:w="150" w:type="dxa"/>
        </w:tblCellMar>
      </w:tblPr>
      <w:tblGrid>
        <w:gridCol w:w="1280"/>
        <w:gridCol w:w="7828"/>
      </w:tblGrid>
      <w:tr w14:paraId="679C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0" w:type="dxa"/>
            <w:left w:w="150" w:type="dxa"/>
            <w:bottom w:w="150" w:type="dxa"/>
            <w:right w:w="150" w:type="dxa"/>
          </w:tblCellMar>
        </w:tblPrEx>
        <w:trPr>
          <w:jc w:val="center"/>
        </w:trPr>
        <w:tc>
          <w:tcPr>
            <w:tcW w:w="1280" w:type="dxa"/>
            <w:vAlign w:val="center"/>
          </w:tcPr>
          <w:p w14:paraId="55F8D2B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审查项目</w:t>
            </w:r>
          </w:p>
        </w:tc>
        <w:tc>
          <w:tcPr>
            <w:tcW w:w="7828" w:type="dxa"/>
            <w:vAlign w:val="center"/>
          </w:tcPr>
          <w:p w14:paraId="2E33846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要求</w:t>
            </w:r>
          </w:p>
        </w:tc>
      </w:tr>
      <w:tr w14:paraId="4A50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0" w:type="dxa"/>
            <w:left w:w="150" w:type="dxa"/>
            <w:bottom w:w="150" w:type="dxa"/>
            <w:right w:w="150" w:type="dxa"/>
          </w:tblCellMar>
        </w:tblPrEx>
        <w:trPr>
          <w:jc w:val="center"/>
        </w:trPr>
        <w:tc>
          <w:tcPr>
            <w:tcW w:w="1280" w:type="dxa"/>
            <w:vMerge w:val="restart"/>
            <w:vAlign w:val="center"/>
          </w:tcPr>
          <w:p w14:paraId="5AA2013F">
            <w:pPr>
              <w:pStyle w:val="19"/>
              <w:keepNext w:val="0"/>
              <w:keepLines w:val="0"/>
              <w:widowControl/>
              <w:suppressLineNumbers w:val="0"/>
              <w:spacing w:before="0" w:beforeAutospacing="0" w:after="0" w:afterAutospacing="0" w:line="240" w:lineRule="auto"/>
              <w:ind w:left="0" w:right="0"/>
              <w:jc w:val="center"/>
              <w:rPr>
                <w:rFonts w:hint="default"/>
                <w:color w:val="auto"/>
                <w:sz w:val="21"/>
                <w:szCs w:val="21"/>
                <w:highlight w:val="none"/>
              </w:rPr>
            </w:pPr>
            <w:r>
              <w:rPr>
                <w:rFonts w:hint="eastAsia"/>
                <w:color w:val="auto"/>
                <w:sz w:val="21"/>
                <w:szCs w:val="21"/>
                <w:highlight w:val="none"/>
              </w:rPr>
              <w:t>资格性审查</w:t>
            </w:r>
          </w:p>
        </w:tc>
        <w:tc>
          <w:tcPr>
            <w:tcW w:w="7828" w:type="dxa"/>
            <w:vAlign w:val="center"/>
          </w:tcPr>
          <w:p w14:paraId="28661E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cs="宋体"/>
                <w:color w:val="auto"/>
                <w:highlight w:val="none"/>
              </w:rPr>
            </w:pPr>
            <w:r>
              <w:rPr>
                <w:rFonts w:hint="eastAsia" w:ascii="宋体" w:hAnsi="宋体" w:cs="宋体"/>
                <w:color w:val="auto"/>
                <w:highlight w:val="none"/>
              </w:rPr>
              <w:t>1、参选人具备《政府采购法》第二十二条所规定的条件：</w:t>
            </w:r>
          </w:p>
          <w:p w14:paraId="7751FA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cs="宋体"/>
                <w:color w:val="auto"/>
                <w:highlight w:val="none"/>
              </w:rPr>
            </w:pPr>
            <w:r>
              <w:rPr>
                <w:rFonts w:hint="eastAsia" w:ascii="宋体" w:hAnsi="宋体" w:cs="宋体"/>
                <w:color w:val="auto"/>
                <w:highlight w:val="none"/>
              </w:rPr>
              <w:t>1.1参选人必须是具有独立承担民事责任能力的在中华人民共和国境内注册的法人或其他组织或自然人（提交有效的营业执照（或事业法人登记证等相关证明）副本复印件）；</w:t>
            </w:r>
          </w:p>
          <w:p w14:paraId="616F4E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cs="宋体"/>
                <w:color w:val="auto"/>
                <w:highlight w:val="none"/>
              </w:rPr>
            </w:pPr>
            <w:r>
              <w:rPr>
                <w:rFonts w:hint="eastAsia" w:ascii="宋体" w:hAnsi="宋体" w:cs="宋体"/>
                <w:color w:val="auto"/>
                <w:highlight w:val="none"/>
              </w:rPr>
              <w:t>1.2参选人有依法缴纳税收和社会保障资金的良好记录（提供《资格声明函》）。</w:t>
            </w:r>
          </w:p>
          <w:p w14:paraId="1FF782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cs="宋体"/>
                <w:color w:val="auto"/>
                <w:highlight w:val="none"/>
              </w:rPr>
            </w:pPr>
            <w:r>
              <w:rPr>
                <w:rFonts w:hint="eastAsia" w:ascii="宋体" w:hAnsi="宋体" w:cs="宋体"/>
                <w:color w:val="auto"/>
                <w:highlight w:val="none"/>
              </w:rPr>
              <w:t>1.3参选人具有良好的商业信誉和健全的财务会计制度（提供《资格声明函》）。</w:t>
            </w:r>
          </w:p>
          <w:p w14:paraId="59E80D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cs="宋体"/>
                <w:color w:val="auto"/>
                <w:highlight w:val="none"/>
              </w:rPr>
            </w:pPr>
            <w:r>
              <w:rPr>
                <w:rFonts w:hint="eastAsia" w:ascii="宋体" w:hAnsi="宋体" w:cs="宋体"/>
                <w:color w:val="auto"/>
                <w:highlight w:val="none"/>
              </w:rPr>
              <w:t>1.4参选人具有履行合同所必需的设备和专业技术能力（提供《资格声明函》）。</w:t>
            </w:r>
          </w:p>
          <w:p w14:paraId="367B18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cs="宋体"/>
                <w:color w:val="auto"/>
                <w:highlight w:val="none"/>
              </w:rPr>
            </w:pPr>
            <w:r>
              <w:rPr>
                <w:rFonts w:hint="eastAsia" w:ascii="宋体" w:hAnsi="宋体" w:cs="宋体"/>
                <w:color w:val="auto"/>
                <w:highlight w:val="none"/>
              </w:rPr>
              <w:t>1.5参选人参加本次采购活动前三年内，在经营活动中没有重大违法记录（提供《资格声明函》）。重大违法记录，是指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14:paraId="386933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宋体" w:hAnsi="宋体" w:cs="宋体"/>
                <w:color w:val="auto"/>
                <w:highlight w:val="none"/>
              </w:rPr>
            </w:pPr>
            <w:r>
              <w:rPr>
                <w:rFonts w:hint="eastAsia" w:ascii="宋体" w:hAnsi="宋体" w:cs="宋体"/>
                <w:color w:val="auto"/>
                <w:highlight w:val="none"/>
              </w:rPr>
              <w:t>1.6参选人必须符合法律、行政法规规定的其他条件（提供《资格声明函》）。</w:t>
            </w:r>
          </w:p>
        </w:tc>
      </w:tr>
      <w:tr w14:paraId="32E2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0" w:type="dxa"/>
            <w:left w:w="150" w:type="dxa"/>
            <w:bottom w:w="150" w:type="dxa"/>
            <w:right w:w="150" w:type="dxa"/>
          </w:tblCellMar>
        </w:tblPrEx>
        <w:trPr>
          <w:jc w:val="center"/>
        </w:trPr>
        <w:tc>
          <w:tcPr>
            <w:tcW w:w="1280" w:type="dxa"/>
            <w:vMerge w:val="continue"/>
            <w:vAlign w:val="center"/>
          </w:tcPr>
          <w:p w14:paraId="4BC47DE4">
            <w:pPr>
              <w:pStyle w:val="19"/>
              <w:keepNext w:val="0"/>
              <w:keepLines w:val="0"/>
              <w:widowControl/>
              <w:suppressLineNumbers w:val="0"/>
              <w:spacing w:before="0" w:beforeAutospacing="0" w:after="0" w:afterAutospacing="0" w:line="240" w:lineRule="auto"/>
              <w:ind w:left="0" w:right="0"/>
              <w:jc w:val="center"/>
              <w:rPr>
                <w:rFonts w:hint="default"/>
                <w:color w:val="auto"/>
                <w:sz w:val="21"/>
                <w:szCs w:val="21"/>
                <w:highlight w:val="none"/>
              </w:rPr>
            </w:pPr>
          </w:p>
        </w:tc>
        <w:tc>
          <w:tcPr>
            <w:tcW w:w="7828" w:type="dxa"/>
            <w:vAlign w:val="center"/>
          </w:tcPr>
          <w:p w14:paraId="6247590A">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2、本项目不接受联合体参选，不允许分包、转包（提供《资格声明函》）。</w:t>
            </w:r>
          </w:p>
        </w:tc>
      </w:tr>
      <w:tr w14:paraId="6D4F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0" w:type="dxa"/>
            <w:left w:w="150" w:type="dxa"/>
            <w:bottom w:w="150" w:type="dxa"/>
            <w:right w:w="150" w:type="dxa"/>
          </w:tblCellMar>
        </w:tblPrEx>
        <w:trPr>
          <w:jc w:val="center"/>
        </w:trPr>
        <w:tc>
          <w:tcPr>
            <w:tcW w:w="1280" w:type="dxa"/>
            <w:vMerge w:val="continue"/>
            <w:vAlign w:val="center"/>
          </w:tcPr>
          <w:p w14:paraId="020F9B1B">
            <w:pPr>
              <w:pStyle w:val="19"/>
              <w:keepNext w:val="0"/>
              <w:keepLines w:val="0"/>
              <w:widowControl/>
              <w:suppressLineNumbers w:val="0"/>
              <w:spacing w:before="0" w:beforeAutospacing="0" w:after="0" w:afterAutospacing="0" w:line="240" w:lineRule="auto"/>
              <w:ind w:left="0" w:right="0"/>
              <w:jc w:val="center"/>
              <w:rPr>
                <w:rFonts w:hint="default"/>
                <w:color w:val="auto"/>
                <w:sz w:val="21"/>
                <w:szCs w:val="21"/>
                <w:highlight w:val="none"/>
              </w:rPr>
            </w:pPr>
          </w:p>
        </w:tc>
        <w:tc>
          <w:tcPr>
            <w:tcW w:w="7828" w:type="dxa"/>
            <w:vAlign w:val="center"/>
          </w:tcPr>
          <w:p w14:paraId="605F65D6">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3、参选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采购代理机构将于参选截止日当天在“信用中国”网站（www.creditchina.gov.cn）及中国政府采购网(www.ccgp.gov.cn)上查询相关信息。如查询结果未发现失信行为，视为评审时参选人符合本款要求）</w:t>
            </w:r>
          </w:p>
        </w:tc>
      </w:tr>
      <w:tr w14:paraId="6F093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0" w:type="dxa"/>
            <w:left w:w="150" w:type="dxa"/>
            <w:bottom w:w="150" w:type="dxa"/>
            <w:right w:w="150" w:type="dxa"/>
          </w:tblCellMar>
        </w:tblPrEx>
        <w:trPr>
          <w:jc w:val="center"/>
        </w:trPr>
        <w:tc>
          <w:tcPr>
            <w:tcW w:w="1280" w:type="dxa"/>
            <w:vMerge w:val="continue"/>
            <w:vAlign w:val="center"/>
          </w:tcPr>
          <w:p w14:paraId="4F81313B">
            <w:pPr>
              <w:pStyle w:val="19"/>
              <w:keepNext w:val="0"/>
              <w:keepLines w:val="0"/>
              <w:widowControl/>
              <w:suppressLineNumbers w:val="0"/>
              <w:spacing w:before="0" w:beforeAutospacing="0" w:after="0" w:afterAutospacing="0" w:line="240" w:lineRule="auto"/>
              <w:ind w:left="0" w:right="0"/>
              <w:jc w:val="center"/>
              <w:rPr>
                <w:rFonts w:hint="default"/>
                <w:color w:val="auto"/>
                <w:sz w:val="21"/>
                <w:szCs w:val="21"/>
                <w:highlight w:val="none"/>
              </w:rPr>
            </w:pPr>
          </w:p>
        </w:tc>
        <w:tc>
          <w:tcPr>
            <w:tcW w:w="7828" w:type="dxa"/>
            <w:vAlign w:val="center"/>
          </w:tcPr>
          <w:p w14:paraId="760DE8BD">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4、单位负责人为同一人或者存在直接控股、管理关系的不同参选人，不得参加同一合同项下的采购活动。（提供《资格声明函》）</w:t>
            </w:r>
          </w:p>
        </w:tc>
      </w:tr>
      <w:tr w14:paraId="0BAB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0" w:type="dxa"/>
            <w:left w:w="150" w:type="dxa"/>
            <w:bottom w:w="150" w:type="dxa"/>
            <w:right w:w="150" w:type="dxa"/>
          </w:tblCellMar>
        </w:tblPrEx>
        <w:trPr>
          <w:jc w:val="center"/>
        </w:trPr>
        <w:tc>
          <w:tcPr>
            <w:tcW w:w="1280" w:type="dxa"/>
            <w:vMerge w:val="continue"/>
            <w:vAlign w:val="center"/>
          </w:tcPr>
          <w:p w14:paraId="787C9E22">
            <w:pPr>
              <w:pStyle w:val="19"/>
              <w:keepNext w:val="0"/>
              <w:keepLines w:val="0"/>
              <w:widowControl/>
              <w:suppressLineNumbers w:val="0"/>
              <w:spacing w:before="0" w:beforeAutospacing="0" w:after="0" w:afterAutospacing="0" w:line="240" w:lineRule="auto"/>
              <w:ind w:left="0" w:right="0"/>
              <w:jc w:val="center"/>
              <w:rPr>
                <w:rFonts w:hint="default"/>
                <w:color w:val="auto"/>
                <w:sz w:val="21"/>
                <w:szCs w:val="21"/>
                <w:highlight w:val="none"/>
              </w:rPr>
            </w:pPr>
          </w:p>
        </w:tc>
        <w:tc>
          <w:tcPr>
            <w:tcW w:w="7828" w:type="dxa"/>
            <w:vAlign w:val="center"/>
          </w:tcPr>
          <w:p w14:paraId="1D7F388E">
            <w:pPr>
              <w:keepNext w:val="0"/>
              <w:keepLines w:val="0"/>
              <w:widowControl/>
              <w:suppressLineNumbers w:val="0"/>
              <w:spacing w:before="0" w:beforeAutospacing="0" w:after="0" w:afterAutospacing="0" w:line="240" w:lineRule="auto"/>
              <w:ind w:left="0" w:right="0"/>
              <w:rPr>
                <w:rFonts w:hint="eastAsia" w:ascii="宋体" w:hAnsi="宋体" w:cs="宋体"/>
                <w:color w:val="auto"/>
                <w:highlight w:val="none"/>
              </w:rPr>
            </w:pPr>
            <w:r>
              <w:rPr>
                <w:rFonts w:hint="eastAsia" w:ascii="宋体" w:hAnsi="宋体" w:cs="宋体"/>
                <w:color w:val="auto"/>
                <w:highlight w:val="none"/>
              </w:rPr>
              <w:t>5、为采购项目提供整体设计、规范编制或者项目管理、监理、检测等服务的参选人，不得再参加该采购项目的其他采购活动。（提供《资格声明函》）</w:t>
            </w:r>
          </w:p>
        </w:tc>
      </w:tr>
    </w:tbl>
    <w:p w14:paraId="7E4140D4">
      <w:pPr>
        <w:spacing w:line="240" w:lineRule="auto"/>
        <w:ind w:left="707" w:leftChars="200" w:hanging="287" w:hangingChars="137"/>
        <w:rPr>
          <w:rFonts w:ascii="宋体" w:hAnsi="宋体" w:cs="宋体"/>
          <w:color w:val="auto"/>
          <w:highlight w:val="none"/>
        </w:rPr>
      </w:pPr>
      <w:r>
        <w:rPr>
          <w:rFonts w:hint="eastAsia" w:ascii="宋体" w:hAnsi="宋体" w:cs="宋体"/>
          <w:color w:val="auto"/>
          <w:highlight w:val="none"/>
        </w:rPr>
        <w:t>注：未通过资格性审查的参选人，不进入符合性审查。</w:t>
      </w:r>
    </w:p>
    <w:p w14:paraId="5B66D346">
      <w:pPr>
        <w:spacing w:line="360" w:lineRule="auto"/>
        <w:rPr>
          <w:rFonts w:hint="eastAsia" w:ascii="宋体" w:hAnsi="宋体" w:cs="宋体"/>
          <w:b/>
          <w:color w:val="auto"/>
          <w:highlight w:val="none"/>
        </w:rPr>
      </w:pPr>
      <w:r>
        <w:rPr>
          <w:rFonts w:hint="eastAsia" w:ascii="宋体" w:hAnsi="宋体" w:cs="宋体"/>
          <w:b/>
          <w:color w:val="auto"/>
          <w:highlight w:val="none"/>
        </w:rPr>
        <w:br w:type="page"/>
      </w:r>
    </w:p>
    <w:p w14:paraId="07DCCCE6">
      <w:pPr>
        <w:pStyle w:val="6"/>
        <w:spacing w:line="240" w:lineRule="auto"/>
        <w:ind w:firstLine="0"/>
        <w:rPr>
          <w:rFonts w:ascii="宋体" w:hAnsi="宋体" w:cs="宋体"/>
          <w:b/>
          <w:color w:val="auto"/>
          <w:highlight w:val="none"/>
        </w:rPr>
      </w:pPr>
      <w:r>
        <w:rPr>
          <w:rFonts w:hint="eastAsia" w:ascii="宋体" w:hAnsi="宋体" w:cs="宋体"/>
          <w:b/>
          <w:color w:val="auto"/>
          <w:highlight w:val="none"/>
        </w:rPr>
        <w:t>附件二：</w:t>
      </w:r>
    </w:p>
    <w:p w14:paraId="7EB00264">
      <w:pPr>
        <w:pStyle w:val="6"/>
        <w:spacing w:line="360" w:lineRule="auto"/>
        <w:ind w:firstLine="0"/>
        <w:jc w:val="center"/>
        <w:rPr>
          <w:rFonts w:ascii="宋体" w:hAnsi="宋体" w:cs="宋体"/>
          <w:b/>
          <w:color w:val="auto"/>
          <w:sz w:val="28"/>
          <w:szCs w:val="28"/>
          <w:highlight w:val="none"/>
        </w:rPr>
      </w:pPr>
      <w:r>
        <w:rPr>
          <w:rFonts w:hint="eastAsia" w:ascii="宋体" w:hAnsi="宋体" w:cs="宋体"/>
          <w:b/>
          <w:color w:val="auto"/>
          <w:sz w:val="28"/>
          <w:szCs w:val="28"/>
          <w:highlight w:val="none"/>
        </w:rPr>
        <w:t>符合性审查</w:t>
      </w:r>
    </w:p>
    <w:tbl>
      <w:tblPr>
        <w:tblStyle w:val="24"/>
        <w:tblW w:w="4999" w:type="pct"/>
        <w:tblInd w:w="0" w:type="dxa"/>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autofit"/>
        <w:tblCellMar>
          <w:top w:w="150" w:type="dxa"/>
          <w:left w:w="150" w:type="dxa"/>
          <w:bottom w:w="150" w:type="dxa"/>
          <w:right w:w="150" w:type="dxa"/>
        </w:tblCellMar>
      </w:tblPr>
      <w:tblGrid>
        <w:gridCol w:w="1469"/>
        <w:gridCol w:w="7359"/>
      </w:tblGrid>
      <w:tr w14:paraId="144AD2EA">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283" w:hRule="atLeast"/>
          <w:tblHeader/>
        </w:trPr>
        <w:tc>
          <w:tcPr>
            <w:tcW w:w="832" w:type="pct"/>
            <w:tcBorders>
              <w:top w:val="outset" w:color="111111" w:sz="6" w:space="0"/>
              <w:left w:val="outset" w:color="111111" w:sz="6" w:space="0"/>
              <w:bottom w:val="outset" w:color="111111" w:sz="6" w:space="0"/>
              <w:right w:val="outset" w:color="111111" w:sz="6" w:space="0"/>
            </w:tcBorders>
            <w:vAlign w:val="center"/>
          </w:tcPr>
          <w:p w14:paraId="2BB67CAB">
            <w:pPr>
              <w:keepNext w:val="0"/>
              <w:keepLines w:val="0"/>
              <w:widowControl/>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审查项目</w:t>
            </w:r>
          </w:p>
        </w:tc>
        <w:tc>
          <w:tcPr>
            <w:tcW w:w="4167" w:type="pct"/>
            <w:tcBorders>
              <w:top w:val="outset" w:color="111111" w:sz="6" w:space="0"/>
              <w:left w:val="outset" w:color="111111" w:sz="6" w:space="0"/>
              <w:bottom w:val="outset" w:color="111111" w:sz="6" w:space="0"/>
              <w:right w:val="outset" w:color="111111" w:sz="6" w:space="0"/>
            </w:tcBorders>
            <w:vAlign w:val="center"/>
          </w:tcPr>
          <w:p w14:paraId="1A5BFA8C">
            <w:pPr>
              <w:keepNext w:val="0"/>
              <w:keepLines w:val="0"/>
              <w:widowControl/>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要求</w:t>
            </w:r>
          </w:p>
        </w:tc>
      </w:tr>
      <w:tr w14:paraId="2DDCBA86">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283" w:hRule="atLeast"/>
        </w:trPr>
        <w:tc>
          <w:tcPr>
            <w:tcW w:w="832" w:type="pct"/>
            <w:vMerge w:val="restart"/>
            <w:tcBorders>
              <w:top w:val="outset" w:color="111111" w:sz="6" w:space="0"/>
              <w:left w:val="outset" w:color="111111" w:sz="6" w:space="0"/>
              <w:right w:val="outset" w:color="111111" w:sz="6" w:space="0"/>
            </w:tcBorders>
            <w:vAlign w:val="center"/>
          </w:tcPr>
          <w:p w14:paraId="03E21A31">
            <w:pPr>
              <w:pStyle w:val="19"/>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center"/>
              <w:textAlignment w:val="auto"/>
              <w:rPr>
                <w:rFonts w:hint="default"/>
                <w:color w:val="auto"/>
                <w:sz w:val="21"/>
                <w:szCs w:val="21"/>
                <w:highlight w:val="none"/>
              </w:rPr>
            </w:pPr>
            <w:r>
              <w:rPr>
                <w:rFonts w:hint="eastAsia"/>
                <w:color w:val="auto"/>
                <w:sz w:val="21"/>
                <w:szCs w:val="21"/>
                <w:highlight w:val="none"/>
              </w:rPr>
              <w:t>符合性审查</w:t>
            </w:r>
          </w:p>
        </w:tc>
        <w:tc>
          <w:tcPr>
            <w:tcW w:w="4167" w:type="pct"/>
            <w:tcBorders>
              <w:top w:val="outset" w:color="111111" w:sz="6" w:space="0"/>
              <w:left w:val="outset" w:color="111111" w:sz="6" w:space="0"/>
              <w:bottom w:val="outset" w:color="111111" w:sz="6" w:space="0"/>
              <w:right w:val="outset" w:color="111111" w:sz="6" w:space="0"/>
            </w:tcBorders>
          </w:tcPr>
          <w:p w14:paraId="71EB666A">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default" w:ascii="宋体" w:hAnsi="宋体" w:cs="宋体"/>
                <w:color w:val="auto"/>
                <w:highlight w:val="none"/>
              </w:rPr>
              <w:t>（1）</w:t>
            </w:r>
            <w:r>
              <w:rPr>
                <w:rFonts w:hint="eastAsia" w:ascii="宋体" w:hAnsi="宋体" w:cs="宋体"/>
                <w:color w:val="auto"/>
                <w:highlight w:val="none"/>
              </w:rPr>
              <w:t>参选报价确定且未超过报价范围；</w:t>
            </w:r>
          </w:p>
          <w:p w14:paraId="3C8249CF">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default" w:ascii="宋体" w:hAnsi="宋体" w:cs="宋体"/>
                <w:color w:val="auto"/>
                <w:highlight w:val="none"/>
              </w:rPr>
              <w:t>（2）</w:t>
            </w:r>
            <w:r>
              <w:rPr>
                <w:rFonts w:hint="eastAsia" w:ascii="宋体" w:hAnsi="宋体" w:cs="宋体"/>
                <w:color w:val="auto"/>
                <w:highlight w:val="none"/>
              </w:rPr>
              <w:t>参选报价是唯一确定的，对采购标的的主体、关键内容无漏项、缺项；</w:t>
            </w:r>
          </w:p>
          <w:p w14:paraId="1FFCACB3">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default" w:ascii="宋体" w:hAnsi="宋体" w:cs="宋体"/>
                <w:color w:val="auto"/>
                <w:highlight w:val="none"/>
              </w:rPr>
              <w:t>（3）</w:t>
            </w:r>
            <w:r>
              <w:rPr>
                <w:rFonts w:hint="eastAsia" w:ascii="宋体" w:hAnsi="宋体" w:cs="宋体"/>
                <w:color w:val="auto"/>
                <w:highlight w:val="none"/>
              </w:rPr>
              <w:t>如有，对评审委员会按照遴选文件规定修正后的参选报价，参选人按规定书面确认；</w:t>
            </w:r>
          </w:p>
          <w:p w14:paraId="5174DE46">
            <w:pPr>
              <w:keepNext w:val="0"/>
              <w:keepLines w:val="0"/>
              <w:pageBreakBefore w:val="0"/>
              <w:widowControl/>
              <w:numPr>
                <w:ilvl w:val="255"/>
                <w:numId w:val="0"/>
              </w:numPr>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（4）</w:t>
            </w:r>
            <w:r>
              <w:rPr>
                <w:rFonts w:hint="eastAsia" w:ascii="宋体" w:hAnsi="宋体" w:eastAsia="宋体" w:cs="宋体"/>
                <w:color w:val="auto"/>
                <w:highlight w:val="none"/>
              </w:rPr>
              <w:t>如评</w:t>
            </w:r>
            <w:r>
              <w:rPr>
                <w:rFonts w:hint="eastAsia" w:ascii="宋体" w:hAnsi="宋体" w:eastAsia="宋体" w:cs="宋体"/>
                <w:color w:val="auto"/>
                <w:highlight w:val="none"/>
                <w:lang w:val="en-US" w:eastAsia="zh-CN"/>
              </w:rPr>
              <w:t>审</w:t>
            </w:r>
            <w:r>
              <w:rPr>
                <w:rFonts w:hint="eastAsia" w:ascii="宋体" w:hAnsi="宋体" w:eastAsia="宋体" w:cs="宋体"/>
                <w:color w:val="auto"/>
                <w:highlight w:val="none"/>
              </w:rPr>
              <w:t>委员会认为</w:t>
            </w:r>
            <w:r>
              <w:rPr>
                <w:rFonts w:hint="eastAsia" w:ascii="宋体" w:hAnsi="宋体" w:eastAsia="宋体" w:cs="宋体"/>
                <w:color w:val="auto"/>
                <w:highlight w:val="none"/>
                <w:lang w:val="en-US" w:eastAsia="zh-CN"/>
              </w:rPr>
              <w:t>参选人</w:t>
            </w:r>
            <w:r>
              <w:rPr>
                <w:rFonts w:hint="eastAsia" w:ascii="宋体" w:hAnsi="宋体" w:eastAsia="宋体" w:cs="宋体"/>
                <w:color w:val="auto"/>
                <w:highlight w:val="none"/>
              </w:rPr>
              <w:t>的报价属于</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文件中“采购异常低价审查”</w:t>
            </w:r>
            <w:r>
              <w:rPr>
                <w:rFonts w:hint="eastAsia" w:ascii="宋体" w:hAnsi="宋体" w:eastAsia="宋体" w:cs="宋体"/>
                <w:color w:val="auto"/>
                <w:highlight w:val="none"/>
                <w:lang w:eastAsia="zh-CN"/>
              </w:rPr>
              <w:t>情形</w:t>
            </w:r>
            <w:r>
              <w:rPr>
                <w:rFonts w:hint="eastAsia" w:ascii="宋体" w:hAnsi="宋体" w:cs="宋体"/>
                <w:color w:val="auto"/>
                <w:highlight w:val="none"/>
                <w:lang w:eastAsia="zh-CN"/>
              </w:rPr>
              <w:t>，</w:t>
            </w:r>
            <w:r>
              <w:rPr>
                <w:rFonts w:hint="eastAsia" w:ascii="宋体" w:hAnsi="宋体" w:cs="宋体"/>
                <w:color w:val="auto"/>
                <w:highlight w:val="none"/>
              </w:rPr>
              <w:t>参选人能证明其报价合理性。</w:t>
            </w:r>
          </w:p>
        </w:tc>
      </w:tr>
      <w:tr w14:paraId="7C91DD36">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283" w:hRule="atLeast"/>
        </w:trPr>
        <w:tc>
          <w:tcPr>
            <w:tcW w:w="832" w:type="pct"/>
            <w:vMerge w:val="continue"/>
            <w:tcBorders>
              <w:left w:val="outset" w:color="111111" w:sz="6" w:space="0"/>
              <w:right w:val="outset" w:color="111111" w:sz="6" w:space="0"/>
            </w:tcBorders>
            <w:vAlign w:val="center"/>
          </w:tcPr>
          <w:p w14:paraId="7701612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textAlignment w:val="auto"/>
              <w:rPr>
                <w:rFonts w:hint="default" w:ascii="宋体" w:hAnsi="宋体" w:cs="宋体"/>
                <w:color w:val="auto"/>
                <w:highlight w:val="none"/>
              </w:rPr>
            </w:pPr>
          </w:p>
        </w:tc>
        <w:tc>
          <w:tcPr>
            <w:tcW w:w="4167" w:type="pct"/>
            <w:tcBorders>
              <w:top w:val="outset" w:color="111111" w:sz="6" w:space="0"/>
              <w:left w:val="outset" w:color="111111" w:sz="6" w:space="0"/>
              <w:bottom w:val="outset" w:color="111111" w:sz="6" w:space="0"/>
              <w:right w:val="outset" w:color="111111" w:sz="6" w:space="0"/>
            </w:tcBorders>
          </w:tcPr>
          <w:p w14:paraId="142AD865">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参选文件按要求签署、盖章。</w:t>
            </w:r>
          </w:p>
        </w:tc>
      </w:tr>
      <w:tr w14:paraId="02E6E509">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283" w:hRule="atLeast"/>
        </w:trPr>
        <w:tc>
          <w:tcPr>
            <w:tcW w:w="832" w:type="pct"/>
            <w:vMerge w:val="continue"/>
            <w:tcBorders>
              <w:left w:val="outset" w:color="111111" w:sz="6" w:space="0"/>
              <w:right w:val="outset" w:color="111111" w:sz="6" w:space="0"/>
            </w:tcBorders>
            <w:vAlign w:val="center"/>
          </w:tcPr>
          <w:p w14:paraId="58EE95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textAlignment w:val="auto"/>
              <w:rPr>
                <w:rFonts w:hint="default" w:ascii="宋体" w:hAnsi="宋体" w:cs="宋体"/>
                <w:color w:val="auto"/>
                <w:highlight w:val="none"/>
              </w:rPr>
            </w:pPr>
          </w:p>
        </w:tc>
        <w:tc>
          <w:tcPr>
            <w:tcW w:w="4167" w:type="pct"/>
            <w:tcBorders>
              <w:top w:val="outset" w:color="111111" w:sz="6" w:space="0"/>
              <w:left w:val="outset" w:color="111111" w:sz="6" w:space="0"/>
              <w:bottom w:val="outset" w:color="111111" w:sz="6" w:space="0"/>
              <w:right w:val="outset" w:color="111111" w:sz="6" w:space="0"/>
            </w:tcBorders>
          </w:tcPr>
          <w:p w14:paraId="5C48335B">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参选有效期满足遴选文件要求。</w:t>
            </w:r>
          </w:p>
        </w:tc>
      </w:tr>
      <w:tr w14:paraId="6A87A09D">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283" w:hRule="atLeast"/>
        </w:trPr>
        <w:tc>
          <w:tcPr>
            <w:tcW w:w="832" w:type="pct"/>
            <w:vMerge w:val="continue"/>
            <w:tcBorders>
              <w:left w:val="outset" w:color="111111" w:sz="6" w:space="0"/>
              <w:right w:val="outset" w:color="111111" w:sz="6" w:space="0"/>
            </w:tcBorders>
            <w:vAlign w:val="center"/>
          </w:tcPr>
          <w:p w14:paraId="2434735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textAlignment w:val="auto"/>
              <w:rPr>
                <w:rFonts w:hint="default" w:ascii="宋体" w:hAnsi="宋体" w:cs="宋体"/>
                <w:color w:val="auto"/>
                <w:highlight w:val="none"/>
              </w:rPr>
            </w:pPr>
          </w:p>
        </w:tc>
        <w:tc>
          <w:tcPr>
            <w:tcW w:w="4167" w:type="pct"/>
            <w:tcBorders>
              <w:top w:val="outset" w:color="111111" w:sz="6" w:space="0"/>
              <w:left w:val="outset" w:color="111111" w:sz="6" w:space="0"/>
              <w:bottom w:val="outset" w:color="111111" w:sz="6" w:space="0"/>
              <w:right w:val="outset" w:color="111111" w:sz="6" w:space="0"/>
            </w:tcBorders>
          </w:tcPr>
          <w:p w14:paraId="016304DC">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参选文件符合遴选文件加注“★”要求的内容。</w:t>
            </w:r>
          </w:p>
        </w:tc>
      </w:tr>
      <w:tr w14:paraId="519E1F40">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283" w:hRule="atLeast"/>
        </w:trPr>
        <w:tc>
          <w:tcPr>
            <w:tcW w:w="832" w:type="pct"/>
            <w:vMerge w:val="continue"/>
            <w:tcBorders>
              <w:left w:val="outset" w:color="111111" w:sz="6" w:space="0"/>
              <w:right w:val="outset" w:color="111111" w:sz="6" w:space="0"/>
            </w:tcBorders>
            <w:vAlign w:val="center"/>
          </w:tcPr>
          <w:p w14:paraId="5EC7C6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textAlignment w:val="auto"/>
              <w:rPr>
                <w:rFonts w:hint="default" w:ascii="宋体" w:hAnsi="宋体" w:cs="宋体"/>
                <w:color w:val="auto"/>
                <w:highlight w:val="none"/>
              </w:rPr>
            </w:pPr>
          </w:p>
        </w:tc>
        <w:tc>
          <w:tcPr>
            <w:tcW w:w="4167" w:type="pct"/>
            <w:tcBorders>
              <w:top w:val="outset" w:color="111111" w:sz="6" w:space="0"/>
              <w:left w:val="outset" w:color="111111" w:sz="6" w:space="0"/>
              <w:bottom w:val="outset" w:color="111111" w:sz="6" w:space="0"/>
              <w:right w:val="outset" w:color="111111" w:sz="6" w:space="0"/>
            </w:tcBorders>
          </w:tcPr>
          <w:p w14:paraId="0216D1BF">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未出现遴选文件所列的视为串通参选情形。</w:t>
            </w:r>
          </w:p>
        </w:tc>
      </w:tr>
      <w:tr w14:paraId="48A87592">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393" w:hRule="atLeast"/>
        </w:trPr>
        <w:tc>
          <w:tcPr>
            <w:tcW w:w="832" w:type="pct"/>
            <w:vMerge w:val="continue"/>
            <w:tcBorders>
              <w:left w:val="outset" w:color="111111" w:sz="6" w:space="0"/>
              <w:right w:val="outset" w:color="111111" w:sz="6" w:space="0"/>
            </w:tcBorders>
            <w:vAlign w:val="center"/>
          </w:tcPr>
          <w:p w14:paraId="611864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textAlignment w:val="auto"/>
              <w:rPr>
                <w:rFonts w:hint="default" w:ascii="宋体" w:hAnsi="宋体" w:cs="宋体"/>
                <w:color w:val="auto"/>
                <w:highlight w:val="none"/>
              </w:rPr>
            </w:pPr>
          </w:p>
        </w:tc>
        <w:tc>
          <w:tcPr>
            <w:tcW w:w="4167" w:type="pct"/>
            <w:tcBorders>
              <w:top w:val="outset" w:color="111111" w:sz="6" w:space="0"/>
              <w:left w:val="outset" w:color="111111" w:sz="6" w:space="0"/>
              <w:bottom w:val="outset" w:color="111111" w:sz="6" w:space="0"/>
              <w:right w:val="outset" w:color="111111" w:sz="6" w:space="0"/>
            </w:tcBorders>
          </w:tcPr>
          <w:p w14:paraId="3CF78E69">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default" w:ascii="宋体" w:hAnsi="宋体" w:cs="宋体"/>
                <w:color w:val="auto"/>
                <w:highlight w:val="none"/>
              </w:rPr>
              <w:t>（1）</w:t>
            </w:r>
            <w:r>
              <w:rPr>
                <w:rFonts w:hint="eastAsia" w:ascii="宋体" w:hAnsi="宋体" w:cs="宋体"/>
                <w:color w:val="auto"/>
                <w:highlight w:val="none"/>
              </w:rPr>
              <w:t>评审期间，参选人没有按评审委员会的要求提交有效的澄清、说明、补正，或提交的澄清、说明、补正改变了参选文件的实质性内容；</w:t>
            </w:r>
          </w:p>
          <w:p w14:paraId="7FCA9931">
            <w:pPr>
              <w:keepNext w:val="0"/>
              <w:keepLines w:val="0"/>
              <w:pageBreakBefore w:val="0"/>
              <w:widowControl/>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default" w:ascii="宋体" w:hAnsi="宋体" w:cs="宋体"/>
                <w:color w:val="auto"/>
                <w:highlight w:val="none"/>
              </w:rPr>
              <w:t>（2）</w:t>
            </w:r>
            <w:r>
              <w:rPr>
                <w:rFonts w:hint="eastAsia" w:ascii="宋体" w:hAnsi="宋体" w:cs="宋体"/>
                <w:color w:val="auto"/>
                <w:highlight w:val="none"/>
              </w:rPr>
              <w:t>参选人对采购人、采购代理机构、评审委员会及其工作人员施加影响，有碍公平、公正；</w:t>
            </w:r>
          </w:p>
          <w:p w14:paraId="62994A24">
            <w:pPr>
              <w:keepNext w:val="0"/>
              <w:keepLines w:val="0"/>
              <w:pageBreakBefore w:val="0"/>
              <w:widowControl/>
              <w:numPr>
                <w:ilvl w:val="255"/>
                <w:numId w:val="0"/>
              </w:numPr>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（3）遴选文件中规定的其它无效参选情形；</w:t>
            </w:r>
          </w:p>
          <w:p w14:paraId="4C84312C">
            <w:pPr>
              <w:keepNext w:val="0"/>
              <w:keepLines w:val="0"/>
              <w:pageBreakBefore w:val="0"/>
              <w:widowControl/>
              <w:numPr>
                <w:ilvl w:val="255"/>
                <w:numId w:val="0"/>
              </w:numPr>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（4）法律法规规定属于响应无效的其他情形。</w:t>
            </w:r>
          </w:p>
        </w:tc>
      </w:tr>
      <w:tr w14:paraId="68F0C4D3">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trPr>
        <w:tc>
          <w:tcPr>
            <w:tcW w:w="832" w:type="pct"/>
            <w:vMerge w:val="continue"/>
            <w:tcBorders>
              <w:left w:val="outset" w:color="111111" w:sz="6" w:space="0"/>
              <w:right w:val="outset" w:color="111111" w:sz="6" w:space="0"/>
            </w:tcBorders>
            <w:vAlign w:val="center"/>
          </w:tcPr>
          <w:p w14:paraId="26ADEB1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textAlignment w:val="auto"/>
              <w:rPr>
                <w:rFonts w:hint="default" w:ascii="宋体" w:hAnsi="宋体" w:cs="宋体"/>
                <w:color w:val="auto"/>
                <w:highlight w:val="none"/>
              </w:rPr>
            </w:pPr>
          </w:p>
        </w:tc>
        <w:tc>
          <w:tcPr>
            <w:tcW w:w="4167" w:type="pct"/>
            <w:tcBorders>
              <w:top w:val="outset" w:color="111111" w:sz="6" w:space="0"/>
              <w:left w:val="outset" w:color="111111" w:sz="6" w:space="0"/>
              <w:bottom w:val="outset" w:color="111111" w:sz="6" w:space="0"/>
              <w:right w:val="outset" w:color="111111" w:sz="6" w:space="0"/>
            </w:tcBorders>
          </w:tcPr>
          <w:p w14:paraId="36E75958">
            <w:pPr>
              <w:keepNext w:val="0"/>
              <w:keepLines w:val="0"/>
              <w:pageBreakBefore w:val="0"/>
              <w:widowControl/>
              <w:numPr>
                <w:ilvl w:val="255"/>
                <w:numId w:val="0"/>
              </w:numPr>
              <w:suppressLineNumbers w:val="0"/>
              <w:kinsoku/>
              <w:wordWrap/>
              <w:overflowPunct/>
              <w:topLinePunct w:val="0"/>
              <w:bidi w:val="0"/>
              <w:spacing w:before="0" w:beforeAutospacing="0" w:after="0" w:afterAutospacing="0" w:line="240" w:lineRule="auto"/>
              <w:ind w:left="0" w:right="0"/>
              <w:textAlignment w:val="auto"/>
              <w:rPr>
                <w:rFonts w:hint="default" w:ascii="宋体" w:hAnsi="宋体" w:cs="宋体"/>
                <w:color w:val="auto"/>
                <w:highlight w:val="none"/>
              </w:rPr>
            </w:pPr>
            <w:r>
              <w:rPr>
                <w:rFonts w:hint="eastAsia" w:ascii="宋体" w:hAnsi="宋体" w:cs="宋体"/>
                <w:color w:val="auto"/>
                <w:highlight w:val="none"/>
              </w:rPr>
              <w:t>参选人已缴纳参选保证金。</w:t>
            </w:r>
          </w:p>
        </w:tc>
      </w:tr>
    </w:tbl>
    <w:p w14:paraId="4528AC71">
      <w:pPr>
        <w:pStyle w:val="6"/>
        <w:keepNext w:val="0"/>
        <w:keepLines w:val="0"/>
        <w:pageBreakBefore w:val="0"/>
        <w:widowControl/>
        <w:kinsoku/>
        <w:wordWrap/>
        <w:overflowPunct/>
        <w:topLinePunct w:val="0"/>
        <w:bidi w:val="0"/>
        <w:spacing w:line="240" w:lineRule="auto"/>
        <w:ind w:firstLine="420" w:firstLineChars="200"/>
        <w:textAlignment w:val="auto"/>
        <w:rPr>
          <w:rFonts w:hint="eastAsia" w:ascii="宋体" w:hAnsi="宋体" w:cs="宋体"/>
          <w:b/>
          <w:color w:val="auto"/>
          <w:highlight w:val="none"/>
        </w:rPr>
      </w:pPr>
      <w:r>
        <w:rPr>
          <w:rFonts w:hint="eastAsia" w:ascii="宋体" w:hAnsi="宋体" w:cs="宋体"/>
          <w:color w:val="auto"/>
          <w:highlight w:val="none"/>
        </w:rPr>
        <w:t>注：未通过符合性审查的参选人，不进入技术、商务评审。</w:t>
      </w:r>
      <w:r>
        <w:rPr>
          <w:rFonts w:hint="eastAsia" w:ascii="宋体" w:hAnsi="宋体" w:cs="宋体"/>
          <w:b/>
          <w:color w:val="auto"/>
          <w:highlight w:val="none"/>
        </w:rPr>
        <w:br w:type="page"/>
      </w:r>
    </w:p>
    <w:p w14:paraId="7C8386BC">
      <w:pPr>
        <w:numPr>
          <w:ilvl w:val="-1"/>
          <w:numId w:val="0"/>
        </w:numPr>
        <w:spacing w:line="240" w:lineRule="auto"/>
        <w:ind w:left="0" w:firstLine="0" w:firstLineChars="0"/>
        <w:rPr>
          <w:rFonts w:hint="eastAsia" w:ascii="宋体" w:hAnsi="宋体" w:cs="宋体"/>
          <w:b/>
          <w:color w:val="auto"/>
          <w:highlight w:val="none"/>
        </w:rPr>
      </w:pPr>
      <w:r>
        <w:rPr>
          <w:rFonts w:hint="eastAsia" w:ascii="宋体" w:hAnsi="宋体" w:cs="宋体"/>
          <w:b/>
          <w:color w:val="auto"/>
          <w:highlight w:val="none"/>
        </w:rPr>
        <w:t>评分权重分配如下：</w:t>
      </w:r>
    </w:p>
    <w:tbl>
      <w:tblPr>
        <w:tblStyle w:val="24"/>
        <w:tblW w:w="0" w:type="auto"/>
        <w:tblInd w:w="3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340"/>
        <w:gridCol w:w="2340"/>
        <w:gridCol w:w="2160"/>
      </w:tblGrid>
      <w:tr w14:paraId="4A9F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0" w:type="dxa"/>
            <w:vAlign w:val="center"/>
          </w:tcPr>
          <w:p w14:paraId="70DC9FFF">
            <w:pPr>
              <w:keepNext w:val="0"/>
              <w:keepLines w:val="0"/>
              <w:widowControl w:val="0"/>
              <w:suppressLineNumbers w:val="0"/>
              <w:spacing w:before="0" w:beforeAutospacing="0" w:after="0" w:afterAutospacing="0" w:line="240" w:lineRule="auto"/>
              <w:ind w:left="0" w:right="0"/>
              <w:jc w:val="center"/>
              <w:rPr>
                <w:rFonts w:hint="eastAsia" w:ascii="宋体" w:hAnsi="宋体" w:cs="宋体"/>
                <w:b/>
                <w:bCs/>
                <w:color w:val="auto"/>
                <w:kern w:val="2"/>
                <w:highlight w:val="none"/>
              </w:rPr>
            </w:pPr>
            <w:r>
              <w:rPr>
                <w:rFonts w:hint="eastAsia" w:ascii="宋体" w:hAnsi="宋体" w:cs="宋体"/>
                <w:b/>
                <w:bCs/>
                <w:color w:val="auto"/>
                <w:kern w:val="2"/>
                <w:highlight w:val="none"/>
              </w:rPr>
              <w:t>评分项目</w:t>
            </w:r>
          </w:p>
        </w:tc>
        <w:tc>
          <w:tcPr>
            <w:tcW w:w="2340" w:type="dxa"/>
            <w:vAlign w:val="center"/>
          </w:tcPr>
          <w:p w14:paraId="5762CF12">
            <w:pPr>
              <w:keepNext w:val="0"/>
              <w:keepLines w:val="0"/>
              <w:widowControl w:val="0"/>
              <w:suppressLineNumbers w:val="0"/>
              <w:spacing w:before="0" w:beforeAutospacing="0" w:after="0" w:afterAutospacing="0" w:line="240" w:lineRule="auto"/>
              <w:ind w:left="0" w:right="0"/>
              <w:jc w:val="center"/>
              <w:rPr>
                <w:rFonts w:hint="eastAsia" w:ascii="宋体" w:hAnsi="宋体" w:cs="宋体"/>
                <w:b/>
                <w:bCs/>
                <w:color w:val="auto"/>
                <w:kern w:val="2"/>
                <w:highlight w:val="none"/>
              </w:rPr>
            </w:pPr>
            <w:r>
              <w:rPr>
                <w:rFonts w:hint="eastAsia" w:ascii="宋体" w:hAnsi="宋体" w:cs="宋体"/>
                <w:b/>
                <w:bCs/>
                <w:color w:val="auto"/>
                <w:highlight w:val="none"/>
              </w:rPr>
              <w:t>技术</w:t>
            </w:r>
            <w:r>
              <w:rPr>
                <w:rFonts w:hint="eastAsia" w:ascii="宋体" w:hAnsi="宋体" w:cs="宋体"/>
                <w:b/>
                <w:bCs/>
                <w:color w:val="auto"/>
                <w:kern w:val="2"/>
                <w:highlight w:val="none"/>
              </w:rPr>
              <w:t>评分</w:t>
            </w:r>
          </w:p>
        </w:tc>
        <w:tc>
          <w:tcPr>
            <w:tcW w:w="2340" w:type="dxa"/>
            <w:vAlign w:val="center"/>
          </w:tcPr>
          <w:p w14:paraId="38755E3E">
            <w:pPr>
              <w:keepNext w:val="0"/>
              <w:keepLines w:val="0"/>
              <w:widowControl w:val="0"/>
              <w:suppressLineNumbers w:val="0"/>
              <w:spacing w:before="0" w:beforeAutospacing="0" w:after="0" w:afterAutospacing="0" w:line="240" w:lineRule="auto"/>
              <w:ind w:left="0" w:right="0"/>
              <w:jc w:val="center"/>
              <w:rPr>
                <w:rFonts w:hint="eastAsia" w:ascii="宋体" w:hAnsi="宋体" w:cs="宋体"/>
                <w:b/>
                <w:bCs/>
                <w:color w:val="auto"/>
                <w:kern w:val="2"/>
                <w:highlight w:val="none"/>
              </w:rPr>
            </w:pPr>
            <w:r>
              <w:rPr>
                <w:rFonts w:hint="eastAsia" w:ascii="宋体" w:hAnsi="宋体" w:cs="宋体"/>
                <w:b/>
                <w:bCs/>
                <w:color w:val="auto"/>
                <w:kern w:val="2"/>
                <w:highlight w:val="none"/>
              </w:rPr>
              <w:t>商务评分</w:t>
            </w:r>
          </w:p>
        </w:tc>
        <w:tc>
          <w:tcPr>
            <w:tcW w:w="2160" w:type="dxa"/>
            <w:vAlign w:val="center"/>
          </w:tcPr>
          <w:p w14:paraId="59B8874E">
            <w:pPr>
              <w:keepNext w:val="0"/>
              <w:keepLines w:val="0"/>
              <w:widowControl w:val="0"/>
              <w:suppressLineNumbers w:val="0"/>
              <w:spacing w:before="0" w:beforeAutospacing="0" w:after="0" w:afterAutospacing="0" w:line="240" w:lineRule="auto"/>
              <w:ind w:left="0" w:right="0"/>
              <w:jc w:val="center"/>
              <w:rPr>
                <w:rFonts w:hint="eastAsia" w:ascii="宋体" w:hAnsi="宋体" w:cs="宋体"/>
                <w:b/>
                <w:bCs/>
                <w:color w:val="auto"/>
                <w:kern w:val="2"/>
                <w:highlight w:val="none"/>
              </w:rPr>
            </w:pPr>
            <w:r>
              <w:rPr>
                <w:rFonts w:hint="eastAsia" w:ascii="宋体" w:hAnsi="宋体" w:cs="宋体"/>
                <w:b/>
                <w:bCs/>
                <w:color w:val="auto"/>
                <w:kern w:val="2"/>
                <w:highlight w:val="none"/>
              </w:rPr>
              <w:t>价格评分</w:t>
            </w:r>
          </w:p>
        </w:tc>
      </w:tr>
      <w:tr w14:paraId="4B9B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0" w:type="dxa"/>
            <w:vAlign w:val="center"/>
          </w:tcPr>
          <w:p w14:paraId="4410FC88">
            <w:pPr>
              <w:keepNext w:val="0"/>
              <w:keepLines w:val="0"/>
              <w:widowControl w:val="0"/>
              <w:suppressLineNumbers w:val="0"/>
              <w:spacing w:before="0" w:beforeAutospacing="0" w:after="0" w:afterAutospacing="0" w:line="240" w:lineRule="auto"/>
              <w:ind w:left="0" w:right="0"/>
              <w:jc w:val="center"/>
              <w:rPr>
                <w:rFonts w:hint="eastAsia" w:ascii="宋体" w:hAnsi="宋体" w:cs="宋体"/>
                <w:b/>
                <w:color w:val="auto"/>
                <w:kern w:val="2"/>
                <w:highlight w:val="none"/>
              </w:rPr>
            </w:pPr>
            <w:r>
              <w:rPr>
                <w:rFonts w:hint="eastAsia" w:ascii="宋体" w:hAnsi="宋体" w:cs="宋体"/>
                <w:b/>
                <w:color w:val="auto"/>
                <w:kern w:val="2"/>
                <w:highlight w:val="none"/>
              </w:rPr>
              <w:t>分值</w:t>
            </w:r>
          </w:p>
        </w:tc>
        <w:tc>
          <w:tcPr>
            <w:tcW w:w="2340" w:type="dxa"/>
            <w:vAlign w:val="center"/>
          </w:tcPr>
          <w:p w14:paraId="0E53240D">
            <w:pPr>
              <w:keepNext w:val="0"/>
              <w:keepLines w:val="0"/>
              <w:widowControl w:val="0"/>
              <w:suppressLineNumbers w:val="0"/>
              <w:spacing w:before="0" w:beforeAutospacing="0" w:after="0" w:afterAutospacing="0" w:line="240" w:lineRule="auto"/>
              <w:ind w:left="0" w:right="0"/>
              <w:jc w:val="center"/>
              <w:rPr>
                <w:rFonts w:hint="eastAsia" w:ascii="宋体" w:hAnsi="宋体" w:cs="宋体"/>
                <w:b/>
                <w:color w:val="auto"/>
                <w:highlight w:val="none"/>
              </w:rPr>
            </w:pPr>
            <w:r>
              <w:rPr>
                <w:rFonts w:hint="eastAsia" w:ascii="宋体" w:hAnsi="宋体" w:cs="宋体"/>
                <w:b/>
                <w:color w:val="auto"/>
                <w:kern w:val="2"/>
                <w:highlight w:val="none"/>
                <w:lang w:val="en-US" w:eastAsia="zh-CN"/>
              </w:rPr>
              <w:t>56</w:t>
            </w:r>
            <w:r>
              <w:rPr>
                <w:rFonts w:hint="eastAsia" w:ascii="宋体" w:hAnsi="宋体" w:cs="宋体"/>
                <w:b/>
                <w:color w:val="auto"/>
                <w:kern w:val="2"/>
                <w:highlight w:val="none"/>
              </w:rPr>
              <w:t>分</w:t>
            </w:r>
          </w:p>
        </w:tc>
        <w:tc>
          <w:tcPr>
            <w:tcW w:w="2340" w:type="dxa"/>
            <w:vAlign w:val="center"/>
          </w:tcPr>
          <w:p w14:paraId="53B0297D">
            <w:pPr>
              <w:keepNext w:val="0"/>
              <w:keepLines w:val="0"/>
              <w:widowControl w:val="0"/>
              <w:suppressLineNumbers w:val="0"/>
              <w:spacing w:before="0" w:beforeAutospacing="0" w:after="0" w:afterAutospacing="0" w:line="240" w:lineRule="auto"/>
              <w:ind w:left="0" w:right="0"/>
              <w:jc w:val="center"/>
              <w:rPr>
                <w:rFonts w:hint="eastAsia" w:ascii="宋体" w:hAnsi="宋体" w:cs="宋体"/>
                <w:b/>
                <w:color w:val="auto"/>
                <w:highlight w:val="none"/>
              </w:rPr>
            </w:pPr>
            <w:r>
              <w:rPr>
                <w:rFonts w:hint="eastAsia" w:ascii="宋体" w:hAnsi="宋体" w:cs="宋体"/>
                <w:b/>
                <w:color w:val="auto"/>
                <w:kern w:val="2"/>
                <w:highlight w:val="none"/>
                <w:lang w:val="en-US" w:eastAsia="zh-CN"/>
              </w:rPr>
              <w:t>14</w:t>
            </w:r>
            <w:r>
              <w:rPr>
                <w:rFonts w:hint="eastAsia" w:ascii="宋体" w:hAnsi="宋体" w:cs="宋体"/>
                <w:b/>
                <w:color w:val="auto"/>
                <w:kern w:val="2"/>
                <w:highlight w:val="none"/>
              </w:rPr>
              <w:t>分</w:t>
            </w:r>
          </w:p>
        </w:tc>
        <w:tc>
          <w:tcPr>
            <w:tcW w:w="2160" w:type="dxa"/>
            <w:vAlign w:val="center"/>
          </w:tcPr>
          <w:p w14:paraId="0C5D1069">
            <w:pPr>
              <w:keepNext w:val="0"/>
              <w:keepLines w:val="0"/>
              <w:widowControl w:val="0"/>
              <w:suppressLineNumbers w:val="0"/>
              <w:spacing w:before="0" w:beforeAutospacing="0" w:after="0" w:afterAutospacing="0" w:line="240" w:lineRule="auto"/>
              <w:ind w:left="0" w:right="0"/>
              <w:jc w:val="center"/>
              <w:rPr>
                <w:rFonts w:hint="eastAsia" w:ascii="宋体" w:hAnsi="宋体" w:cs="宋体"/>
                <w:b/>
                <w:color w:val="auto"/>
                <w:highlight w:val="none"/>
              </w:rPr>
            </w:pPr>
            <w:r>
              <w:rPr>
                <w:rFonts w:hint="eastAsia" w:ascii="宋体" w:hAnsi="宋体" w:cs="宋体"/>
                <w:b/>
                <w:bCs/>
                <w:color w:val="auto"/>
                <w:kern w:val="2"/>
                <w:highlight w:val="none"/>
                <w:lang w:val="en-US" w:eastAsia="zh-CN"/>
              </w:rPr>
              <w:t>30</w:t>
            </w:r>
            <w:r>
              <w:rPr>
                <w:rFonts w:hint="eastAsia" w:ascii="宋体" w:hAnsi="宋体" w:cs="宋体"/>
                <w:b/>
                <w:bCs/>
                <w:color w:val="auto"/>
                <w:kern w:val="2"/>
                <w:highlight w:val="none"/>
              </w:rPr>
              <w:t>分</w:t>
            </w:r>
          </w:p>
        </w:tc>
      </w:tr>
    </w:tbl>
    <w:p w14:paraId="57AC37C9">
      <w:pPr>
        <w:spacing w:line="240" w:lineRule="auto"/>
        <w:rPr>
          <w:rFonts w:hint="eastAsia" w:ascii="宋体" w:hAnsi="宋体" w:cs="宋体"/>
          <w:b/>
          <w:color w:val="auto"/>
          <w:highlight w:val="none"/>
        </w:rPr>
      </w:pPr>
    </w:p>
    <w:p w14:paraId="764F955E">
      <w:pPr>
        <w:spacing w:line="240" w:lineRule="auto"/>
        <w:rPr>
          <w:rFonts w:hint="eastAsia" w:ascii="宋体" w:hAnsi="宋体" w:cs="宋体"/>
          <w:b/>
          <w:color w:val="auto"/>
          <w:highlight w:val="none"/>
        </w:rPr>
      </w:pPr>
      <w:r>
        <w:rPr>
          <w:rFonts w:hint="eastAsia" w:ascii="宋体" w:hAnsi="宋体" w:cs="宋体"/>
          <w:b/>
          <w:color w:val="auto"/>
          <w:highlight w:val="none"/>
        </w:rPr>
        <w:t>附件三：</w:t>
      </w:r>
    </w:p>
    <w:p w14:paraId="5B94E6D0">
      <w:pPr>
        <w:pStyle w:val="6"/>
        <w:spacing w:line="240" w:lineRule="auto"/>
        <w:ind w:firstLine="0"/>
        <w:jc w:val="center"/>
        <w:rPr>
          <w:rFonts w:ascii="宋体" w:hAnsi="宋体" w:cs="宋体"/>
          <w:b/>
          <w:color w:val="auto"/>
          <w:sz w:val="24"/>
          <w:szCs w:val="24"/>
          <w:highlight w:val="none"/>
        </w:rPr>
      </w:pPr>
      <w:r>
        <w:rPr>
          <w:rFonts w:hint="eastAsia" w:ascii="宋体" w:hAnsi="宋体" w:cs="宋体"/>
          <w:b/>
          <w:color w:val="auto"/>
          <w:sz w:val="28"/>
          <w:szCs w:val="28"/>
          <w:highlight w:val="none"/>
        </w:rPr>
        <w:t>商务评分表</w:t>
      </w:r>
    </w:p>
    <w:tbl>
      <w:tblPr>
        <w:tblStyle w:val="24"/>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173"/>
        <w:gridCol w:w="6524"/>
        <w:gridCol w:w="886"/>
      </w:tblGrid>
      <w:tr w14:paraId="6B4E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6" w:type="dxa"/>
            <w:tcBorders>
              <w:bottom w:val="single" w:color="auto" w:sz="4" w:space="0"/>
            </w:tcBorders>
            <w:vAlign w:val="center"/>
          </w:tcPr>
          <w:p w14:paraId="23F18A9E">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color w:val="auto"/>
                <w:kern w:val="2"/>
                <w:highlight w:val="none"/>
              </w:rPr>
            </w:pPr>
            <w:r>
              <w:rPr>
                <w:rFonts w:hint="eastAsia" w:asciiTheme="minorEastAsia" w:hAnsiTheme="minorEastAsia" w:eastAsiaTheme="minorEastAsia" w:cstheme="minorEastAsia"/>
                <w:b/>
                <w:color w:val="auto"/>
                <w:kern w:val="2"/>
                <w:highlight w:val="none"/>
              </w:rPr>
              <w:t>序号</w:t>
            </w:r>
          </w:p>
        </w:tc>
        <w:tc>
          <w:tcPr>
            <w:tcW w:w="1173" w:type="dxa"/>
            <w:tcBorders>
              <w:bottom w:val="single" w:color="auto" w:sz="4" w:space="0"/>
            </w:tcBorders>
            <w:vAlign w:val="center"/>
          </w:tcPr>
          <w:p w14:paraId="5E1B4EE8">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color w:val="auto"/>
                <w:kern w:val="2"/>
                <w:highlight w:val="none"/>
              </w:rPr>
            </w:pPr>
            <w:r>
              <w:rPr>
                <w:rFonts w:hint="eastAsia" w:asciiTheme="minorEastAsia" w:hAnsiTheme="minorEastAsia" w:eastAsiaTheme="minorEastAsia" w:cstheme="minorEastAsia"/>
                <w:b/>
                <w:color w:val="auto"/>
                <w:kern w:val="2"/>
                <w:highlight w:val="none"/>
              </w:rPr>
              <w:t>评审内容</w:t>
            </w:r>
          </w:p>
        </w:tc>
        <w:tc>
          <w:tcPr>
            <w:tcW w:w="6524" w:type="dxa"/>
            <w:tcBorders>
              <w:bottom w:val="single" w:color="auto" w:sz="4" w:space="0"/>
            </w:tcBorders>
            <w:vAlign w:val="center"/>
          </w:tcPr>
          <w:p w14:paraId="02E99115">
            <w:pPr>
              <w:keepNext w:val="0"/>
              <w:keepLines w:val="0"/>
              <w:widowControl/>
              <w:suppressLineNumbers w:val="0"/>
              <w:spacing w:before="0" w:beforeAutospacing="0" w:after="0" w:afterAutospacing="0" w:line="240" w:lineRule="auto"/>
              <w:ind w:left="0" w:right="0"/>
              <w:jc w:val="center"/>
              <w:rPr>
                <w:rFonts w:hint="default"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kern w:val="2"/>
                <w:highlight w:val="none"/>
              </w:rPr>
              <w:t>评分标准</w:t>
            </w:r>
          </w:p>
        </w:tc>
        <w:tc>
          <w:tcPr>
            <w:tcW w:w="886" w:type="dxa"/>
            <w:tcBorders>
              <w:bottom w:val="single" w:color="auto" w:sz="4" w:space="0"/>
            </w:tcBorders>
            <w:vAlign w:val="center"/>
          </w:tcPr>
          <w:p w14:paraId="0B1FA5D8">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color w:val="auto"/>
                <w:kern w:val="2"/>
                <w:highlight w:val="none"/>
              </w:rPr>
            </w:pPr>
            <w:r>
              <w:rPr>
                <w:rFonts w:hint="eastAsia" w:asciiTheme="minorEastAsia" w:hAnsiTheme="minorEastAsia" w:eastAsiaTheme="minorEastAsia" w:cstheme="minorEastAsia"/>
                <w:b/>
                <w:color w:val="auto"/>
                <w:highlight w:val="none"/>
              </w:rPr>
              <w:t>分值</w:t>
            </w:r>
          </w:p>
        </w:tc>
      </w:tr>
      <w:tr w14:paraId="53C9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6" w:type="dxa"/>
            <w:tcBorders>
              <w:bottom w:val="single" w:color="auto" w:sz="4" w:space="0"/>
            </w:tcBorders>
            <w:vAlign w:val="center"/>
          </w:tcPr>
          <w:p w14:paraId="0A6BB95B">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val="0"/>
                <w:bCs/>
                <w:color w:val="auto"/>
                <w:kern w:val="2"/>
                <w:highlight w:val="none"/>
                <w:lang w:val="en-US" w:eastAsia="zh-CN"/>
              </w:rPr>
            </w:pPr>
            <w:r>
              <w:rPr>
                <w:rFonts w:hint="eastAsia" w:asciiTheme="minorEastAsia" w:hAnsiTheme="minorEastAsia" w:eastAsiaTheme="minorEastAsia" w:cstheme="minorEastAsia"/>
                <w:b w:val="0"/>
                <w:bCs/>
                <w:color w:val="auto"/>
                <w:kern w:val="2"/>
                <w:highlight w:val="none"/>
                <w:lang w:val="en-US" w:eastAsia="zh-CN"/>
              </w:rPr>
              <w:t>1</w:t>
            </w:r>
          </w:p>
        </w:tc>
        <w:tc>
          <w:tcPr>
            <w:tcW w:w="1173" w:type="dxa"/>
            <w:tcBorders>
              <w:bottom w:val="single" w:color="auto" w:sz="4" w:space="0"/>
            </w:tcBorders>
            <w:vAlign w:val="center"/>
          </w:tcPr>
          <w:p w14:paraId="45EFD174">
            <w:pPr>
              <w:pStyle w:val="35"/>
              <w:keepNext w:val="0"/>
              <w:keepLines w:val="0"/>
              <w:widowControl w:val="0"/>
              <w:suppressLineNumbers w:val="0"/>
              <w:spacing w:before="0" w:beforeAutospacing="0" w:after="0" w:afterAutospacing="0" w:line="240" w:lineRule="auto"/>
              <w:ind w:left="0" w:right="0"/>
              <w:textAlignment w:val="auto"/>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同类项目有效业绩</w:t>
            </w:r>
          </w:p>
        </w:tc>
        <w:tc>
          <w:tcPr>
            <w:tcW w:w="6524" w:type="dxa"/>
            <w:tcBorders>
              <w:bottom w:val="single" w:color="auto" w:sz="4" w:space="0"/>
            </w:tcBorders>
            <w:vAlign w:val="center"/>
          </w:tcPr>
          <w:p w14:paraId="2BE1F28B">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每提供一份有效的</w:t>
            </w:r>
            <w:r>
              <w:rPr>
                <w:rFonts w:hint="eastAsia" w:asciiTheme="minorEastAsia" w:hAnsiTheme="minorEastAsia" w:eastAsiaTheme="minorEastAsia" w:cstheme="minorEastAsia"/>
                <w:b/>
                <w:bCs w:val="0"/>
                <w:color w:val="auto"/>
                <w:kern w:val="2"/>
                <w:highlight w:val="none"/>
              </w:rPr>
              <w:t>同类项目（指：垃圾清运服务）</w:t>
            </w:r>
            <w:r>
              <w:rPr>
                <w:rFonts w:hint="eastAsia" w:asciiTheme="minorEastAsia" w:hAnsiTheme="minorEastAsia" w:eastAsiaTheme="minorEastAsia" w:cstheme="minorEastAsia"/>
                <w:b w:val="0"/>
                <w:bCs/>
                <w:color w:val="auto"/>
                <w:kern w:val="2"/>
                <w:highlight w:val="none"/>
              </w:rPr>
              <w:t>合同或中标（或成交）通知书扫描件加盖公章</w:t>
            </w:r>
            <w:r>
              <w:rPr>
                <w:rFonts w:hint="eastAsia" w:asciiTheme="minorEastAsia" w:hAnsiTheme="minorEastAsia" w:eastAsiaTheme="minorEastAsia" w:cstheme="minorEastAsia"/>
                <w:b w:val="0"/>
                <w:bCs/>
                <w:color w:val="auto"/>
                <w:kern w:val="2"/>
                <w:highlight w:val="none"/>
                <w:lang w:val="en-US" w:eastAsia="zh-CN"/>
              </w:rPr>
              <w:t>0.5</w:t>
            </w:r>
            <w:r>
              <w:rPr>
                <w:rFonts w:hint="eastAsia" w:asciiTheme="minorEastAsia" w:hAnsiTheme="minorEastAsia" w:eastAsiaTheme="minorEastAsia" w:cstheme="minorEastAsia"/>
                <w:b w:val="0"/>
                <w:bCs/>
                <w:color w:val="auto"/>
                <w:kern w:val="2"/>
                <w:highlight w:val="none"/>
              </w:rPr>
              <w:t>分，最高得</w:t>
            </w:r>
            <w:r>
              <w:rPr>
                <w:rFonts w:hint="eastAsia" w:asciiTheme="minorEastAsia" w:hAnsiTheme="minorEastAsia" w:eastAsiaTheme="minorEastAsia" w:cstheme="minorEastAsia"/>
                <w:b w:val="0"/>
                <w:bCs/>
                <w:color w:val="auto"/>
                <w:kern w:val="2"/>
                <w:highlight w:val="none"/>
                <w:lang w:val="en-US" w:eastAsia="zh-CN"/>
              </w:rPr>
              <w:t>3</w:t>
            </w:r>
            <w:r>
              <w:rPr>
                <w:rFonts w:hint="eastAsia" w:asciiTheme="minorEastAsia" w:hAnsiTheme="minorEastAsia" w:eastAsiaTheme="minorEastAsia" w:cstheme="minorEastAsia"/>
                <w:b w:val="0"/>
                <w:bCs/>
                <w:color w:val="auto"/>
                <w:kern w:val="2"/>
                <w:highlight w:val="none"/>
              </w:rPr>
              <w:t>分。</w:t>
            </w:r>
          </w:p>
          <w:p w14:paraId="6096FA90">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备注：</w:t>
            </w:r>
          </w:p>
          <w:p w14:paraId="3361A474">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（1）须是以参选人名义独立承接（不含分包或转包）。</w:t>
            </w:r>
          </w:p>
          <w:p w14:paraId="565DDE97">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（2）以合同签订日期或中标（或成交）通知书落款时间为准，合同签订时间或中标（或成交）通知书落款时间为2023年1月1日起。</w:t>
            </w:r>
          </w:p>
          <w:p w14:paraId="50F84B40">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 xml:space="preserve">（3）证明材料为同一合同客户或采购（或招标）人的，投标人提供多份不同时期的合同或中标（或成交）通知书，按一项计算； </w:t>
            </w:r>
          </w:p>
          <w:p w14:paraId="276BF3D6">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（4）证明材料</w:t>
            </w:r>
            <w:r>
              <w:rPr>
                <w:rFonts w:hint="eastAsia" w:ascii="宋体" w:hAnsi="宋体" w:cs="宋体"/>
                <w:color w:val="auto"/>
                <w:highlight w:val="none"/>
                <w:lang w:eastAsia="zh-CN"/>
              </w:rPr>
              <w:t>须能体现本</w:t>
            </w:r>
            <w:r>
              <w:rPr>
                <w:rFonts w:hint="eastAsia" w:ascii="宋体" w:hAnsi="宋体" w:cs="宋体"/>
                <w:b/>
                <w:bCs/>
                <w:color w:val="auto"/>
                <w:highlight w:val="none"/>
                <w:lang w:eastAsia="zh-Hans"/>
              </w:rPr>
              <w:t>同类</w:t>
            </w:r>
            <w:r>
              <w:rPr>
                <w:rFonts w:hint="eastAsia" w:ascii="宋体" w:hAnsi="宋体" w:cs="宋体"/>
                <w:b/>
                <w:bCs/>
                <w:color w:val="auto"/>
                <w:highlight w:val="none"/>
                <w:lang w:eastAsia="zh-CN"/>
              </w:rPr>
              <w:t>项目；</w:t>
            </w:r>
            <w:r>
              <w:rPr>
                <w:rFonts w:hint="eastAsia" w:asciiTheme="minorEastAsia" w:hAnsiTheme="minorEastAsia" w:eastAsiaTheme="minorEastAsia" w:cstheme="minorEastAsia"/>
                <w:b w:val="0"/>
                <w:bCs/>
                <w:color w:val="auto"/>
                <w:kern w:val="2"/>
                <w:highlight w:val="none"/>
              </w:rPr>
              <w:t xml:space="preserve">证明材料若为合同的，须附上合同关键页（含签订合同双方的单位名称、合同项目名称、合同清单/合同概况、签订合同双方的落款盖章、签订日期的关键页）扫描件作为同类业绩证明资料。 </w:t>
            </w:r>
          </w:p>
          <w:p w14:paraId="71E2FC1A">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 xml:space="preserve">（5）未按照要求提供证明材料不得分。 </w:t>
            </w:r>
          </w:p>
        </w:tc>
        <w:tc>
          <w:tcPr>
            <w:tcW w:w="886" w:type="dxa"/>
            <w:tcBorders>
              <w:bottom w:val="single" w:color="auto" w:sz="4" w:space="0"/>
            </w:tcBorders>
            <w:vAlign w:val="center"/>
          </w:tcPr>
          <w:p w14:paraId="5CE6F8F7">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val="0"/>
                <w:bCs/>
                <w:color w:val="auto"/>
                <w:highlight w:val="none"/>
                <w:lang w:val="en-US" w:eastAsia="zh-CN"/>
              </w:rPr>
            </w:pPr>
            <w:r>
              <w:rPr>
                <w:rFonts w:hint="eastAsia" w:asciiTheme="minorEastAsia" w:hAnsiTheme="minorEastAsia" w:eastAsiaTheme="minorEastAsia" w:cstheme="minorEastAsia"/>
                <w:b w:val="0"/>
                <w:bCs/>
                <w:color w:val="auto"/>
                <w:highlight w:val="none"/>
                <w:lang w:val="en-US" w:eastAsia="zh-CN"/>
              </w:rPr>
              <w:t>3分</w:t>
            </w:r>
          </w:p>
        </w:tc>
      </w:tr>
      <w:tr w14:paraId="41AA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6" w:type="dxa"/>
            <w:tcBorders>
              <w:bottom w:val="single" w:color="auto" w:sz="4" w:space="0"/>
            </w:tcBorders>
            <w:vAlign w:val="center"/>
          </w:tcPr>
          <w:p w14:paraId="58BCFB09">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val="0"/>
                <w:bCs/>
                <w:color w:val="auto"/>
                <w:kern w:val="2"/>
                <w:highlight w:val="none"/>
                <w:lang w:val="en-US" w:eastAsia="zh-CN"/>
              </w:rPr>
            </w:pPr>
            <w:r>
              <w:rPr>
                <w:rFonts w:hint="eastAsia" w:asciiTheme="minorEastAsia" w:hAnsiTheme="minorEastAsia" w:eastAsiaTheme="minorEastAsia" w:cstheme="minorEastAsia"/>
                <w:b w:val="0"/>
                <w:bCs/>
                <w:color w:val="auto"/>
                <w:kern w:val="2"/>
                <w:highlight w:val="none"/>
                <w:lang w:val="en-US" w:eastAsia="zh-CN"/>
              </w:rPr>
              <w:t>2</w:t>
            </w:r>
          </w:p>
        </w:tc>
        <w:tc>
          <w:tcPr>
            <w:tcW w:w="1173" w:type="dxa"/>
            <w:tcBorders>
              <w:bottom w:val="single" w:color="auto" w:sz="4" w:space="0"/>
            </w:tcBorders>
            <w:vAlign w:val="center"/>
          </w:tcPr>
          <w:p w14:paraId="12CA5AA6">
            <w:pPr>
              <w:pStyle w:val="35"/>
              <w:keepNext w:val="0"/>
              <w:keepLines w:val="0"/>
              <w:widowControl w:val="0"/>
              <w:suppressLineNumbers w:val="0"/>
              <w:spacing w:before="0" w:beforeAutospacing="0" w:after="0" w:afterAutospacing="0" w:line="240" w:lineRule="auto"/>
              <w:ind w:left="0" w:right="0"/>
              <w:textAlignment w:val="auto"/>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公司实力</w:t>
            </w:r>
          </w:p>
        </w:tc>
        <w:tc>
          <w:tcPr>
            <w:tcW w:w="6524" w:type="dxa"/>
            <w:tcBorders>
              <w:bottom w:val="single" w:color="auto" w:sz="4" w:space="0"/>
            </w:tcBorders>
            <w:vAlign w:val="center"/>
          </w:tcPr>
          <w:p w14:paraId="40FBA7C3">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参选人具有由国家认证认可监督管理部门批准设立的认证机构颁发的质量管理体系认证证书</w:t>
            </w:r>
            <w:r>
              <w:rPr>
                <w:rFonts w:hint="eastAsia" w:asciiTheme="minorEastAsia" w:hAnsiTheme="minorEastAsia" w:eastAsiaTheme="minorEastAsia" w:cstheme="minorEastAsia"/>
                <w:b w:val="0"/>
                <w:bCs/>
                <w:color w:val="auto"/>
                <w:kern w:val="2"/>
                <w:highlight w:val="none"/>
                <w:lang w:eastAsia="zh-CN"/>
              </w:rPr>
              <w:t>、环境管理体系认证证书、职业健康安全管理体系认证证书，</w:t>
            </w:r>
            <w:r>
              <w:rPr>
                <w:rFonts w:hint="eastAsia" w:asciiTheme="minorEastAsia" w:hAnsiTheme="minorEastAsia" w:eastAsiaTheme="minorEastAsia" w:cstheme="minorEastAsia"/>
                <w:b w:val="0"/>
                <w:bCs/>
                <w:color w:val="auto"/>
                <w:kern w:val="2"/>
                <w:highlight w:val="none"/>
              </w:rPr>
              <w:t>并在有效期内的，</w:t>
            </w:r>
            <w:r>
              <w:rPr>
                <w:rFonts w:hint="eastAsia" w:asciiTheme="minorEastAsia" w:hAnsiTheme="minorEastAsia" w:eastAsiaTheme="minorEastAsia" w:cstheme="minorEastAsia"/>
                <w:b w:val="0"/>
                <w:bCs/>
                <w:color w:val="auto"/>
                <w:kern w:val="2"/>
                <w:highlight w:val="none"/>
                <w:lang w:val="en-US" w:eastAsia="zh-CN"/>
              </w:rPr>
              <w:t>每提供1种证书得2分，满分6分。</w:t>
            </w:r>
          </w:p>
          <w:p w14:paraId="5E552393">
            <w:pPr>
              <w:keepNext w:val="0"/>
              <w:keepLines w:val="0"/>
              <w:widowControl/>
              <w:suppressLineNumbers w:val="0"/>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lang w:val="en-US" w:eastAsia="zh-CN"/>
              </w:rPr>
            </w:pPr>
            <w:r>
              <w:rPr>
                <w:rFonts w:hint="eastAsia" w:asciiTheme="minorEastAsia" w:hAnsiTheme="minorEastAsia" w:eastAsiaTheme="minorEastAsia" w:cstheme="minorEastAsia"/>
                <w:b w:val="0"/>
                <w:bCs/>
                <w:color w:val="auto"/>
                <w:kern w:val="2"/>
                <w:highlight w:val="none"/>
              </w:rPr>
              <w:t xml:space="preserve">注：提供有效期内的：①认证证书复印件。②在国家认监委网站（网址：http://www.cnca.gov.cn/）对证书的信息查询截图作为评审依据（以http://www.cnca.gov.cn/网站公布为准，供应商可通过网站首页中“互联网+服务—查询服务—认证结果”进行查询），已失效或撤销的不得分，公开信息中无法查询或与公开信息不一致的（如暂停的），供应商必须提供发证机构出具的证明函，否则不得分。 </w:t>
            </w:r>
            <w:r>
              <w:rPr>
                <w:rFonts w:hint="eastAsia" w:asciiTheme="minorEastAsia" w:hAnsiTheme="minorEastAsia" w:eastAsiaTheme="minorEastAsia" w:cstheme="minorEastAsia"/>
                <w:b w:val="0"/>
                <w:bCs/>
                <w:color w:val="auto"/>
                <w:kern w:val="2"/>
                <w:highlight w:val="none"/>
                <w:lang w:val="en-US" w:eastAsia="zh-CN"/>
              </w:rPr>
              <w:t>③因参选人成立时间不满足认证时间要求且办理认证所需要的合理时间不足导致未能获得上述认证证书的，参选人提供相关佐证资料，情况属实的，可对应得分，否则不得分。</w:t>
            </w:r>
          </w:p>
        </w:tc>
        <w:tc>
          <w:tcPr>
            <w:tcW w:w="886" w:type="dxa"/>
            <w:tcBorders>
              <w:bottom w:val="single" w:color="auto" w:sz="4" w:space="0"/>
            </w:tcBorders>
            <w:vAlign w:val="center"/>
          </w:tcPr>
          <w:p w14:paraId="5F9BBDAC">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val="0"/>
                <w:bCs/>
                <w:color w:val="auto"/>
                <w:highlight w:val="none"/>
                <w:lang w:val="en-US" w:eastAsia="zh-CN"/>
              </w:rPr>
            </w:pPr>
            <w:r>
              <w:rPr>
                <w:rFonts w:hint="eastAsia" w:asciiTheme="minorEastAsia" w:hAnsiTheme="minorEastAsia" w:eastAsiaTheme="minorEastAsia" w:cstheme="minorEastAsia"/>
                <w:b w:val="0"/>
                <w:bCs/>
                <w:color w:val="auto"/>
                <w:highlight w:val="none"/>
                <w:lang w:val="en-US" w:eastAsia="zh-CN"/>
              </w:rPr>
              <w:t>6分</w:t>
            </w:r>
          </w:p>
        </w:tc>
      </w:tr>
      <w:tr w14:paraId="1FA5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6" w:type="dxa"/>
            <w:tcBorders>
              <w:bottom w:val="single" w:color="auto" w:sz="4" w:space="0"/>
            </w:tcBorders>
            <w:vAlign w:val="center"/>
          </w:tcPr>
          <w:p w14:paraId="25DA9BC6">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val="0"/>
                <w:bCs/>
                <w:color w:val="auto"/>
                <w:kern w:val="2"/>
                <w:highlight w:val="none"/>
                <w:lang w:val="en-US" w:eastAsia="zh-CN"/>
              </w:rPr>
            </w:pPr>
            <w:r>
              <w:rPr>
                <w:rFonts w:hint="eastAsia" w:asciiTheme="minorEastAsia" w:hAnsiTheme="minorEastAsia" w:eastAsiaTheme="minorEastAsia" w:cstheme="minorEastAsia"/>
                <w:b w:val="0"/>
                <w:bCs/>
                <w:color w:val="auto"/>
                <w:kern w:val="2"/>
                <w:highlight w:val="none"/>
                <w:lang w:val="en-US" w:eastAsia="zh-CN"/>
              </w:rPr>
              <w:t>3</w:t>
            </w:r>
          </w:p>
        </w:tc>
        <w:tc>
          <w:tcPr>
            <w:tcW w:w="1173" w:type="dxa"/>
            <w:tcBorders>
              <w:bottom w:val="single" w:color="auto" w:sz="4" w:space="0"/>
            </w:tcBorders>
            <w:vAlign w:val="center"/>
          </w:tcPr>
          <w:p w14:paraId="4BD39380">
            <w:pPr>
              <w:pStyle w:val="35"/>
              <w:keepNext w:val="0"/>
              <w:keepLines w:val="0"/>
              <w:widowControl w:val="0"/>
              <w:suppressLineNumbers w:val="0"/>
              <w:spacing w:before="0" w:beforeAutospacing="0" w:after="0" w:afterAutospacing="0" w:line="240" w:lineRule="auto"/>
              <w:ind w:left="0" w:right="0"/>
              <w:textAlignment w:val="auto"/>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综合信用评价</w:t>
            </w:r>
          </w:p>
        </w:tc>
        <w:tc>
          <w:tcPr>
            <w:tcW w:w="6524" w:type="dxa"/>
            <w:tcBorders>
              <w:bottom w:val="single" w:color="auto" w:sz="4" w:space="0"/>
            </w:tcBorders>
            <w:vAlign w:val="center"/>
          </w:tcPr>
          <w:p w14:paraId="2E37509B">
            <w:pPr>
              <w:keepNext w:val="0"/>
              <w:keepLines w:val="0"/>
              <w:widowControl/>
              <w:suppressLineNumbers w:val="0"/>
              <w:tabs>
                <w:tab w:val="left" w:pos="6090"/>
              </w:tabs>
              <w:spacing w:before="0" w:beforeAutospacing="0" w:after="0" w:afterAutospacing="0" w:line="240" w:lineRule="auto"/>
              <w:ind w:left="0" w:right="0"/>
              <w:jc w:val="both"/>
              <w:rPr>
                <w:rFonts w:hint="eastAsia" w:asciiTheme="minorEastAsia" w:hAnsiTheme="minorEastAsia" w:eastAsiaTheme="minorEastAsia" w:cstheme="minorEastAsia"/>
                <w:b w:val="0"/>
                <w:bCs/>
                <w:color w:val="auto"/>
                <w:kern w:val="2"/>
                <w:highlight w:val="none"/>
              </w:rPr>
            </w:pPr>
            <w:r>
              <w:rPr>
                <w:rFonts w:hint="eastAsia" w:asciiTheme="minorEastAsia" w:hAnsiTheme="minorEastAsia" w:eastAsiaTheme="minorEastAsia" w:cstheme="minorEastAsia"/>
                <w:b w:val="0"/>
                <w:bCs/>
                <w:color w:val="auto"/>
                <w:kern w:val="2"/>
                <w:highlight w:val="none"/>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c>
          <w:tcPr>
            <w:tcW w:w="886" w:type="dxa"/>
            <w:tcBorders>
              <w:bottom w:val="single" w:color="auto" w:sz="4" w:space="0"/>
            </w:tcBorders>
            <w:vAlign w:val="center"/>
          </w:tcPr>
          <w:p w14:paraId="0374B287">
            <w:pPr>
              <w:pStyle w:val="35"/>
              <w:keepNext w:val="0"/>
              <w:keepLines w:val="0"/>
              <w:widowControl w:val="0"/>
              <w:suppressLineNumbers w:val="0"/>
              <w:spacing w:before="0" w:beforeAutospacing="0" w:after="0" w:afterAutospacing="0" w:line="240" w:lineRule="auto"/>
              <w:ind w:left="0" w:right="0"/>
              <w:textAlignment w:val="auto"/>
              <w:rPr>
                <w:rFonts w:hint="default" w:asciiTheme="minorEastAsia" w:hAnsiTheme="minorEastAsia" w:eastAsiaTheme="minorEastAsia" w:cstheme="minorEastAsia"/>
                <w:b w:val="0"/>
                <w:bCs/>
                <w:color w:val="auto"/>
                <w:highlight w:val="none"/>
                <w:lang w:val="en-US" w:eastAsia="zh-CN"/>
              </w:rPr>
            </w:pPr>
            <w:r>
              <w:rPr>
                <w:rFonts w:hint="eastAsia" w:asciiTheme="minorEastAsia" w:hAnsiTheme="minorEastAsia" w:eastAsiaTheme="minorEastAsia" w:cstheme="minorEastAsia"/>
                <w:b w:val="0"/>
                <w:bCs/>
                <w:color w:val="auto"/>
                <w:highlight w:val="none"/>
                <w:lang w:val="en-US" w:eastAsia="zh-CN"/>
              </w:rPr>
              <w:t>5分</w:t>
            </w:r>
          </w:p>
        </w:tc>
      </w:tr>
      <w:tr w14:paraId="4684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53" w:type="dxa"/>
            <w:gridSpan w:val="3"/>
            <w:vAlign w:val="center"/>
          </w:tcPr>
          <w:p w14:paraId="2A303C76">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2"/>
                <w:highlight w:val="none"/>
              </w:rPr>
              <w:t>合计</w:t>
            </w:r>
          </w:p>
        </w:tc>
        <w:tc>
          <w:tcPr>
            <w:tcW w:w="886" w:type="dxa"/>
            <w:vAlign w:val="center"/>
          </w:tcPr>
          <w:p w14:paraId="3AF2E538">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14分</w:t>
            </w:r>
          </w:p>
        </w:tc>
      </w:tr>
    </w:tbl>
    <w:p w14:paraId="4E537798">
      <w:pPr>
        <w:pStyle w:val="6"/>
        <w:spacing w:line="360" w:lineRule="auto"/>
        <w:ind w:firstLine="0"/>
        <w:rPr>
          <w:rFonts w:hint="eastAsia" w:ascii="宋体" w:hAnsi="宋体" w:cs="宋体"/>
          <w:b/>
          <w:color w:val="auto"/>
          <w:highlight w:val="none"/>
        </w:rPr>
      </w:pPr>
      <w:r>
        <w:rPr>
          <w:rFonts w:hint="eastAsia" w:ascii="宋体" w:hAnsi="宋体" w:cs="宋体"/>
          <w:b/>
          <w:color w:val="auto"/>
          <w:highlight w:val="none"/>
        </w:rPr>
        <w:br w:type="page"/>
      </w:r>
    </w:p>
    <w:p w14:paraId="5D9DEF45">
      <w:pPr>
        <w:pStyle w:val="6"/>
        <w:spacing w:line="360" w:lineRule="auto"/>
        <w:ind w:firstLine="0"/>
        <w:rPr>
          <w:rFonts w:ascii="宋体" w:hAnsi="宋体" w:cs="宋体"/>
          <w:b/>
          <w:color w:val="auto"/>
          <w:highlight w:val="none"/>
        </w:rPr>
      </w:pPr>
      <w:r>
        <w:rPr>
          <w:rFonts w:hint="eastAsia" w:ascii="宋体" w:hAnsi="宋体" w:cs="宋体"/>
          <w:b/>
          <w:color w:val="auto"/>
          <w:highlight w:val="none"/>
        </w:rPr>
        <w:t>附件四：</w:t>
      </w:r>
    </w:p>
    <w:p w14:paraId="79BA7BA4">
      <w:pPr>
        <w:pStyle w:val="6"/>
        <w:spacing w:line="360" w:lineRule="auto"/>
        <w:ind w:firstLine="0"/>
        <w:jc w:val="center"/>
        <w:rPr>
          <w:rFonts w:ascii="宋体" w:hAnsi="宋体" w:cs="宋体"/>
          <w:b/>
          <w:color w:val="auto"/>
          <w:sz w:val="24"/>
          <w:szCs w:val="24"/>
          <w:highlight w:val="none"/>
        </w:rPr>
      </w:pPr>
      <w:r>
        <w:rPr>
          <w:rFonts w:hint="eastAsia" w:ascii="宋体" w:hAnsi="宋体" w:cs="宋体"/>
          <w:b/>
          <w:color w:val="auto"/>
          <w:sz w:val="28"/>
          <w:szCs w:val="28"/>
          <w:highlight w:val="none"/>
        </w:rPr>
        <w:t>技术评分表</w:t>
      </w:r>
    </w:p>
    <w:tbl>
      <w:tblPr>
        <w:tblStyle w:val="24"/>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303"/>
        <w:gridCol w:w="6101"/>
        <w:gridCol w:w="1018"/>
      </w:tblGrid>
      <w:tr w14:paraId="7F3B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8" w:type="dxa"/>
            <w:tcBorders>
              <w:bottom w:val="single" w:color="auto" w:sz="4" w:space="0"/>
            </w:tcBorders>
            <w:vAlign w:val="center"/>
          </w:tcPr>
          <w:p w14:paraId="18DD1E03">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color w:val="auto"/>
                <w:kern w:val="2"/>
                <w:highlight w:val="none"/>
              </w:rPr>
            </w:pPr>
            <w:r>
              <w:rPr>
                <w:rFonts w:hint="eastAsia" w:ascii="宋体" w:hAnsi="宋体" w:eastAsia="宋体" w:cs="宋体"/>
                <w:b/>
                <w:color w:val="auto"/>
                <w:kern w:val="2"/>
                <w:highlight w:val="none"/>
              </w:rPr>
              <w:t>序号</w:t>
            </w:r>
          </w:p>
        </w:tc>
        <w:tc>
          <w:tcPr>
            <w:tcW w:w="1303" w:type="dxa"/>
            <w:tcBorders>
              <w:bottom w:val="single" w:color="auto" w:sz="4" w:space="0"/>
            </w:tcBorders>
            <w:vAlign w:val="center"/>
          </w:tcPr>
          <w:p w14:paraId="731C0200">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color w:val="auto"/>
                <w:kern w:val="2"/>
                <w:highlight w:val="none"/>
              </w:rPr>
            </w:pPr>
            <w:r>
              <w:rPr>
                <w:rFonts w:hint="eastAsia" w:ascii="宋体" w:hAnsi="宋体" w:eastAsia="宋体" w:cs="宋体"/>
                <w:b/>
                <w:color w:val="auto"/>
                <w:kern w:val="2"/>
                <w:highlight w:val="none"/>
              </w:rPr>
              <w:t>评审内容</w:t>
            </w:r>
          </w:p>
        </w:tc>
        <w:tc>
          <w:tcPr>
            <w:tcW w:w="6101" w:type="dxa"/>
            <w:tcBorders>
              <w:bottom w:val="single" w:color="auto" w:sz="4" w:space="0"/>
            </w:tcBorders>
            <w:vAlign w:val="center"/>
          </w:tcPr>
          <w:p w14:paraId="59C06BE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highlight w:val="none"/>
              </w:rPr>
            </w:pPr>
            <w:r>
              <w:rPr>
                <w:rFonts w:hint="eastAsia" w:ascii="宋体" w:hAnsi="宋体" w:eastAsia="宋体" w:cs="宋体"/>
                <w:b/>
                <w:color w:val="auto"/>
                <w:kern w:val="2"/>
                <w:highlight w:val="none"/>
              </w:rPr>
              <w:t>评分标准</w:t>
            </w:r>
          </w:p>
        </w:tc>
        <w:tc>
          <w:tcPr>
            <w:tcW w:w="1018" w:type="dxa"/>
            <w:tcBorders>
              <w:bottom w:val="single" w:color="auto" w:sz="4" w:space="0"/>
            </w:tcBorders>
            <w:vAlign w:val="center"/>
          </w:tcPr>
          <w:p w14:paraId="03F0BB30">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color w:val="auto"/>
                <w:kern w:val="2"/>
                <w:highlight w:val="none"/>
              </w:rPr>
            </w:pPr>
            <w:r>
              <w:rPr>
                <w:rFonts w:hint="eastAsia" w:ascii="宋体" w:hAnsi="宋体" w:eastAsia="宋体" w:cs="宋体"/>
                <w:b/>
                <w:color w:val="auto"/>
                <w:highlight w:val="none"/>
              </w:rPr>
              <w:t>分值</w:t>
            </w:r>
          </w:p>
        </w:tc>
      </w:tr>
      <w:tr w14:paraId="61DD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8" w:type="dxa"/>
            <w:tcBorders>
              <w:bottom w:val="single" w:color="auto" w:sz="4" w:space="0"/>
            </w:tcBorders>
            <w:vAlign w:val="center"/>
          </w:tcPr>
          <w:p w14:paraId="7AA49A3F">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kern w:val="2"/>
                <w:highlight w:val="none"/>
                <w:lang w:val="en-US" w:eastAsia="zh-CN"/>
              </w:rPr>
            </w:pPr>
            <w:r>
              <w:rPr>
                <w:rFonts w:hint="eastAsia" w:ascii="宋体" w:hAnsi="宋体" w:eastAsia="宋体" w:cs="宋体"/>
                <w:b w:val="0"/>
                <w:bCs/>
                <w:color w:val="auto"/>
                <w:kern w:val="2"/>
                <w:highlight w:val="none"/>
                <w:lang w:val="en-US" w:eastAsia="zh-CN"/>
              </w:rPr>
              <w:t>1</w:t>
            </w:r>
          </w:p>
        </w:tc>
        <w:tc>
          <w:tcPr>
            <w:tcW w:w="1303" w:type="dxa"/>
            <w:tcBorders>
              <w:bottom w:val="single" w:color="auto" w:sz="4" w:space="0"/>
            </w:tcBorders>
            <w:vAlign w:val="center"/>
          </w:tcPr>
          <w:p w14:paraId="3F1B9130">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拟投入机械化设备</w:t>
            </w:r>
          </w:p>
        </w:tc>
        <w:tc>
          <w:tcPr>
            <w:tcW w:w="6101" w:type="dxa"/>
            <w:tcBorders>
              <w:bottom w:val="single" w:color="auto" w:sz="4" w:space="0"/>
            </w:tcBorders>
            <w:vAlign w:val="center"/>
          </w:tcPr>
          <w:p w14:paraId="2E65D49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参选人拟投入本项目设备：</w:t>
            </w:r>
            <w:r>
              <w:rPr>
                <w:rFonts w:hint="eastAsia" w:ascii="宋体" w:hAnsi="宋体" w:cs="宋体"/>
                <w:color w:val="auto"/>
                <w:sz w:val="21"/>
                <w:szCs w:val="21"/>
                <w:highlight w:val="none"/>
                <w:lang w:val="en-US" w:eastAsia="zh-CN" w:bidi="ar-SA"/>
              </w:rPr>
              <w:t>①</w:t>
            </w:r>
            <w:r>
              <w:rPr>
                <w:rFonts w:hint="eastAsia" w:ascii="宋体" w:hAnsi="宋体" w:cs="宋体"/>
                <w:color w:val="auto"/>
                <w:highlight w:val="none"/>
                <w:lang w:val="en-US" w:eastAsia="zh-CN"/>
              </w:rPr>
              <w:t>全密闭自动卸载车辆</w:t>
            </w:r>
            <w:r>
              <w:rPr>
                <w:rFonts w:hint="eastAsia" w:ascii="宋体" w:hAnsi="宋体" w:eastAsia="宋体" w:cs="宋体"/>
                <w:color w:val="auto"/>
                <w:highlight w:val="none"/>
                <w:lang w:val="en-US" w:eastAsia="zh-CN"/>
              </w:rPr>
              <w:t>、②垃圾压缩车</w:t>
            </w:r>
            <w:r>
              <w:rPr>
                <w:rFonts w:hint="eastAsia" w:ascii="宋体" w:hAnsi="宋体" w:cs="宋体"/>
                <w:color w:val="auto"/>
                <w:highlight w:val="none"/>
                <w:lang w:val="en-US" w:eastAsia="zh-CN"/>
              </w:rPr>
              <w:t>、③叉车</w:t>
            </w:r>
            <w:r>
              <w:rPr>
                <w:rFonts w:hint="eastAsia" w:ascii="宋体" w:hAnsi="宋体" w:eastAsia="宋体" w:cs="宋体"/>
                <w:color w:val="auto"/>
                <w:highlight w:val="none"/>
                <w:lang w:val="en-US" w:eastAsia="zh-CN"/>
              </w:rPr>
              <w:t>。</w:t>
            </w:r>
          </w:p>
          <w:p w14:paraId="3A7E9191">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1、每提供一种车型，得2分，本小项最高得</w:t>
            </w:r>
            <w:r>
              <w:rPr>
                <w:rFonts w:hint="eastAsia" w:ascii="宋体" w:hAnsi="宋体" w:cs="宋体"/>
                <w:color w:val="auto"/>
                <w:highlight w:val="none"/>
                <w:lang w:val="en-US" w:eastAsia="zh-CN"/>
              </w:rPr>
              <w:t>6</w:t>
            </w:r>
            <w:r>
              <w:rPr>
                <w:rFonts w:hint="eastAsia" w:ascii="宋体" w:hAnsi="宋体" w:eastAsia="宋体" w:cs="宋体"/>
                <w:color w:val="auto"/>
                <w:highlight w:val="none"/>
                <w:lang w:val="en-US" w:eastAsia="zh-CN"/>
              </w:rPr>
              <w:t>分。</w:t>
            </w:r>
          </w:p>
          <w:p w14:paraId="220321D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2、每提供一辆垃圾压缩车，得1分，本小项最高得2分。</w:t>
            </w:r>
          </w:p>
          <w:p w14:paraId="7E4F9C1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3、每提供一辆</w:t>
            </w:r>
            <w:r>
              <w:rPr>
                <w:rFonts w:hint="eastAsia" w:ascii="宋体" w:hAnsi="宋体" w:cs="宋体"/>
                <w:color w:val="auto"/>
                <w:highlight w:val="none"/>
                <w:lang w:val="en-US" w:eastAsia="zh-CN"/>
              </w:rPr>
              <w:t>全密闭自动卸载车辆</w:t>
            </w:r>
            <w:r>
              <w:rPr>
                <w:rFonts w:hint="eastAsia" w:ascii="宋体" w:hAnsi="宋体" w:eastAsia="宋体" w:cs="宋体"/>
                <w:color w:val="auto"/>
                <w:highlight w:val="none"/>
                <w:lang w:val="en-US" w:eastAsia="zh-CN"/>
              </w:rPr>
              <w:t>，得1分，本小项最高得2分。</w:t>
            </w:r>
          </w:p>
          <w:p w14:paraId="3C5AE86B">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default" w:eastAsia="宋体"/>
                <w:color w:val="auto"/>
                <w:highlight w:val="none"/>
                <w:lang w:val="en-US" w:eastAsia="zh-CN"/>
              </w:rPr>
            </w:pPr>
            <w:r>
              <w:rPr>
                <w:rFonts w:hint="eastAsia" w:ascii="宋体" w:hAnsi="宋体" w:eastAsia="宋体" w:cs="宋体"/>
                <w:color w:val="auto"/>
                <w:highlight w:val="none"/>
                <w:lang w:val="en-US" w:eastAsia="zh-CN"/>
              </w:rPr>
              <w:t>注：参选人提供购买发票或有效期内的租赁合同（或合作协议）佐证，如参选人提供的设备名称与本采购文件所述设备名称不一致，但功能相同或同一设备具有上述功能，也视同为上述设备</w:t>
            </w:r>
            <w:r>
              <w:rPr>
                <w:rFonts w:hint="eastAsia" w:ascii="宋体" w:hAnsi="宋体" w:cs="宋体"/>
                <w:color w:val="auto"/>
                <w:highlight w:val="none"/>
                <w:lang w:val="en-US" w:eastAsia="zh-CN"/>
              </w:rPr>
              <w:t>。</w:t>
            </w:r>
          </w:p>
        </w:tc>
        <w:tc>
          <w:tcPr>
            <w:tcW w:w="1018" w:type="dxa"/>
            <w:tcBorders>
              <w:bottom w:val="single" w:color="auto" w:sz="4" w:space="0"/>
            </w:tcBorders>
            <w:vAlign w:val="center"/>
          </w:tcPr>
          <w:p w14:paraId="774E43E7">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10分</w:t>
            </w:r>
          </w:p>
        </w:tc>
      </w:tr>
      <w:tr w14:paraId="48AFA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8" w:type="dxa"/>
            <w:tcBorders>
              <w:bottom w:val="single" w:color="auto" w:sz="4" w:space="0"/>
            </w:tcBorders>
            <w:vAlign w:val="center"/>
          </w:tcPr>
          <w:p w14:paraId="79453B04">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kern w:val="2"/>
                <w:highlight w:val="none"/>
                <w:lang w:val="en-US" w:eastAsia="zh-CN"/>
              </w:rPr>
            </w:pPr>
            <w:r>
              <w:rPr>
                <w:rFonts w:hint="eastAsia" w:ascii="宋体" w:hAnsi="宋体" w:eastAsia="宋体" w:cs="宋体"/>
                <w:b w:val="0"/>
                <w:bCs/>
                <w:color w:val="auto"/>
                <w:kern w:val="2"/>
                <w:highlight w:val="none"/>
                <w:lang w:val="en-US" w:eastAsia="zh-CN"/>
              </w:rPr>
              <w:t>2</w:t>
            </w:r>
          </w:p>
        </w:tc>
        <w:tc>
          <w:tcPr>
            <w:tcW w:w="1303" w:type="dxa"/>
            <w:tcBorders>
              <w:bottom w:val="single" w:color="auto" w:sz="4" w:space="0"/>
            </w:tcBorders>
            <w:vAlign w:val="center"/>
          </w:tcPr>
          <w:p w14:paraId="1337326E">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拟投入人员</w:t>
            </w:r>
          </w:p>
        </w:tc>
        <w:tc>
          <w:tcPr>
            <w:tcW w:w="6101" w:type="dxa"/>
            <w:tcBorders>
              <w:bottom w:val="single" w:color="auto" w:sz="4" w:space="0"/>
            </w:tcBorders>
            <w:vAlign w:val="center"/>
          </w:tcPr>
          <w:p w14:paraId="2855E9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cs="宋体"/>
                <w:b w:val="0"/>
                <w:bCs/>
                <w:color w:val="auto"/>
                <w:kern w:val="2"/>
                <w:highlight w:val="none"/>
                <w:lang w:val="en-US" w:eastAsia="zh-CN"/>
              </w:rPr>
            </w:pPr>
            <w:r>
              <w:rPr>
                <w:rFonts w:hint="eastAsia" w:ascii="宋体" w:hAnsi="宋体" w:cs="宋体"/>
                <w:b w:val="0"/>
                <w:bCs/>
                <w:color w:val="auto"/>
                <w:kern w:val="2"/>
                <w:highlight w:val="none"/>
                <w:lang w:val="en-US" w:eastAsia="zh-CN"/>
              </w:rPr>
              <w:t>参选人拟投入本项目的服务团队人员中具备《生活垃圾清运工》职业资格（或职业技能等级）证书的，每1人得3分，最高得9分。</w:t>
            </w:r>
          </w:p>
          <w:p w14:paraId="674C26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宋体" w:hAnsi="宋体" w:cs="宋体"/>
                <w:b w:val="0"/>
                <w:bCs/>
                <w:color w:val="auto"/>
                <w:kern w:val="2"/>
                <w:highlight w:val="none"/>
                <w:lang w:val="en-US" w:eastAsia="zh-CN"/>
              </w:rPr>
            </w:pPr>
            <w:r>
              <w:rPr>
                <w:rFonts w:hint="eastAsia" w:ascii="宋体" w:hAnsi="宋体" w:cs="宋体"/>
                <w:b w:val="0"/>
                <w:bCs/>
                <w:color w:val="auto"/>
                <w:kern w:val="2"/>
                <w:highlight w:val="none"/>
                <w:lang w:val="en-US" w:eastAsia="zh-CN"/>
              </w:rPr>
              <w:t>注：须同时提供以下佐证材料：①人员证书扫描件；②参选人为其缴交的载有社保部门公章的至参选截止时间前六个月内任意一个月的社保缴交证明扫描件。</w:t>
            </w:r>
          </w:p>
        </w:tc>
        <w:tc>
          <w:tcPr>
            <w:tcW w:w="1018" w:type="dxa"/>
            <w:tcBorders>
              <w:bottom w:val="single" w:color="auto" w:sz="4" w:space="0"/>
            </w:tcBorders>
            <w:vAlign w:val="center"/>
          </w:tcPr>
          <w:p w14:paraId="666D00AE">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9分</w:t>
            </w:r>
          </w:p>
        </w:tc>
      </w:tr>
      <w:tr w14:paraId="70FB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8" w:type="dxa"/>
            <w:tcBorders>
              <w:bottom w:val="single" w:color="auto" w:sz="4" w:space="0"/>
            </w:tcBorders>
            <w:vAlign w:val="center"/>
          </w:tcPr>
          <w:p w14:paraId="664D95C4">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kern w:val="2"/>
                <w:highlight w:val="none"/>
                <w:lang w:val="en-US" w:eastAsia="zh-CN"/>
              </w:rPr>
            </w:pPr>
            <w:r>
              <w:rPr>
                <w:rFonts w:hint="eastAsia" w:ascii="宋体" w:hAnsi="宋体" w:eastAsia="宋体" w:cs="宋体"/>
                <w:b w:val="0"/>
                <w:bCs/>
                <w:color w:val="auto"/>
                <w:kern w:val="2"/>
                <w:highlight w:val="none"/>
                <w:lang w:val="en-US" w:eastAsia="zh-CN"/>
              </w:rPr>
              <w:t>3</w:t>
            </w:r>
          </w:p>
        </w:tc>
        <w:tc>
          <w:tcPr>
            <w:tcW w:w="1303" w:type="dxa"/>
            <w:tcBorders>
              <w:bottom w:val="single" w:color="auto" w:sz="4" w:space="0"/>
            </w:tcBorders>
            <w:vAlign w:val="center"/>
          </w:tcPr>
          <w:p w14:paraId="3A3E6EA8">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重点难点分析</w:t>
            </w:r>
          </w:p>
        </w:tc>
        <w:tc>
          <w:tcPr>
            <w:tcW w:w="6101" w:type="dxa"/>
            <w:tcBorders>
              <w:bottom w:val="single" w:color="auto" w:sz="4" w:space="0"/>
            </w:tcBorders>
            <w:vAlign w:val="center"/>
          </w:tcPr>
          <w:p w14:paraId="71EC9CDB">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根据参选人提供的本项目重点难点分析进行评审，包含但不限于：项目难点分析；项目重点分析；针对项目重点难点提出的解决方案：</w:t>
            </w:r>
          </w:p>
          <w:p w14:paraId="33C0F139">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1、参选人能提供项目实施方案，方案包括以上内容得</w:t>
            </w:r>
            <w:r>
              <w:rPr>
                <w:rFonts w:hint="eastAsia" w:ascii="宋体" w:hAnsi="宋体" w:cs="宋体"/>
                <w:b w:val="0"/>
                <w:bCs/>
                <w:color w:val="auto"/>
                <w:kern w:val="2"/>
                <w:highlight w:val="none"/>
                <w:lang w:val="en-US" w:eastAsia="zh-CN"/>
              </w:rPr>
              <w:t>3</w:t>
            </w:r>
            <w:r>
              <w:rPr>
                <w:rFonts w:hint="eastAsia" w:ascii="宋体" w:hAnsi="宋体" w:eastAsia="宋体" w:cs="宋体"/>
                <w:b w:val="0"/>
                <w:bCs/>
                <w:color w:val="auto"/>
                <w:kern w:val="2"/>
                <w:highlight w:val="none"/>
              </w:rPr>
              <w:t>分；若没有提供方案或内容没有包括以上内容的，本小项及以下评分项均不得分。</w:t>
            </w:r>
          </w:p>
          <w:p w14:paraId="6F8825CB">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2、熟悉属地垃圾处理政策，对项目采购需求理解透彻，难点和重点分析具体、逻辑清晰，解决方案能逐一、详细、具有针对性地回应难点和重点问题，得</w:t>
            </w:r>
            <w:r>
              <w:rPr>
                <w:rFonts w:hint="eastAsia" w:ascii="宋体" w:hAnsi="宋体" w:cs="宋体"/>
                <w:b w:val="0"/>
                <w:bCs/>
                <w:color w:val="auto"/>
                <w:kern w:val="2"/>
                <w:highlight w:val="none"/>
                <w:lang w:val="en-US" w:eastAsia="zh-CN"/>
              </w:rPr>
              <w:t>8</w:t>
            </w:r>
            <w:r>
              <w:rPr>
                <w:rFonts w:hint="eastAsia" w:ascii="宋体" w:hAnsi="宋体" w:eastAsia="宋体" w:cs="宋体"/>
                <w:b w:val="0"/>
                <w:bCs/>
                <w:color w:val="auto"/>
                <w:kern w:val="2"/>
                <w:highlight w:val="none"/>
              </w:rPr>
              <w:t>分；</w:t>
            </w:r>
          </w:p>
          <w:p w14:paraId="21109F97">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3、了解属地垃圾处理政策，并结合项目采购需求，难点和重点分析详细、逻辑较清晰，解决方案能逐一、详细回应难点和重点问题，但针对性不强，得</w:t>
            </w:r>
            <w:r>
              <w:rPr>
                <w:rFonts w:hint="eastAsia" w:ascii="宋体" w:hAnsi="宋体" w:cs="宋体"/>
                <w:b w:val="0"/>
                <w:bCs/>
                <w:color w:val="auto"/>
                <w:kern w:val="2"/>
                <w:highlight w:val="none"/>
                <w:lang w:val="en-US" w:eastAsia="zh-CN"/>
              </w:rPr>
              <w:t>4</w:t>
            </w:r>
            <w:r>
              <w:rPr>
                <w:rFonts w:hint="eastAsia" w:ascii="宋体" w:hAnsi="宋体" w:eastAsia="宋体" w:cs="宋体"/>
                <w:b w:val="0"/>
                <w:bCs/>
                <w:color w:val="auto"/>
                <w:kern w:val="2"/>
                <w:highlight w:val="none"/>
              </w:rPr>
              <w:t>分；</w:t>
            </w:r>
          </w:p>
          <w:p w14:paraId="1824A0F2">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4、对属地垃圾处理政策不了解，没有结合项目采购需求，难点和重点分析简单，解决方案简单，没有针对性，得</w:t>
            </w:r>
            <w:r>
              <w:rPr>
                <w:rFonts w:hint="eastAsia" w:ascii="宋体" w:hAnsi="宋体" w:cs="宋体"/>
                <w:b w:val="0"/>
                <w:bCs/>
                <w:color w:val="auto"/>
                <w:kern w:val="2"/>
                <w:highlight w:val="none"/>
                <w:lang w:val="en-US" w:eastAsia="zh-CN"/>
              </w:rPr>
              <w:t>1</w:t>
            </w:r>
            <w:r>
              <w:rPr>
                <w:rFonts w:hint="eastAsia" w:ascii="宋体" w:hAnsi="宋体" w:eastAsia="宋体" w:cs="宋体"/>
                <w:b w:val="0"/>
                <w:bCs/>
                <w:color w:val="auto"/>
                <w:kern w:val="2"/>
                <w:highlight w:val="none"/>
              </w:rPr>
              <w:t>分；</w:t>
            </w:r>
          </w:p>
          <w:p w14:paraId="2661CB58">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cs="宋体"/>
                <w:b w:val="0"/>
                <w:bCs/>
                <w:color w:val="auto"/>
                <w:kern w:val="2"/>
                <w:highlight w:val="none"/>
                <w:lang w:val="en-US" w:eastAsia="zh-CN"/>
              </w:rPr>
              <w:t>5、</w:t>
            </w:r>
            <w:r>
              <w:rPr>
                <w:rFonts w:hint="eastAsia" w:ascii="宋体" w:hAnsi="宋体" w:eastAsia="宋体" w:cs="宋体"/>
                <w:b w:val="0"/>
                <w:bCs/>
                <w:color w:val="auto"/>
                <w:kern w:val="2"/>
                <w:highlight w:val="none"/>
              </w:rPr>
              <w:t>其他情况不得分。</w:t>
            </w:r>
          </w:p>
        </w:tc>
        <w:tc>
          <w:tcPr>
            <w:tcW w:w="1018" w:type="dxa"/>
            <w:tcBorders>
              <w:bottom w:val="single" w:color="auto" w:sz="4" w:space="0"/>
            </w:tcBorders>
            <w:vAlign w:val="center"/>
          </w:tcPr>
          <w:p w14:paraId="1660EE32">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11分</w:t>
            </w:r>
          </w:p>
        </w:tc>
      </w:tr>
      <w:tr w14:paraId="2D74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8" w:type="dxa"/>
            <w:tcBorders>
              <w:bottom w:val="single" w:color="auto" w:sz="4" w:space="0"/>
            </w:tcBorders>
            <w:vAlign w:val="center"/>
          </w:tcPr>
          <w:p w14:paraId="0DAD8A83">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kern w:val="2"/>
                <w:highlight w:val="none"/>
                <w:lang w:val="en-US" w:eastAsia="zh-CN"/>
              </w:rPr>
            </w:pPr>
            <w:r>
              <w:rPr>
                <w:rFonts w:hint="eastAsia" w:ascii="宋体" w:hAnsi="宋体" w:eastAsia="宋体" w:cs="宋体"/>
                <w:b w:val="0"/>
                <w:bCs/>
                <w:color w:val="auto"/>
                <w:kern w:val="2"/>
                <w:highlight w:val="none"/>
                <w:lang w:val="en-US" w:eastAsia="zh-CN"/>
              </w:rPr>
              <w:t>4</w:t>
            </w:r>
          </w:p>
        </w:tc>
        <w:tc>
          <w:tcPr>
            <w:tcW w:w="1303" w:type="dxa"/>
            <w:tcBorders>
              <w:bottom w:val="single" w:color="auto" w:sz="4" w:space="0"/>
            </w:tcBorders>
            <w:vAlign w:val="center"/>
          </w:tcPr>
          <w:p w14:paraId="50588E06">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总体服务方案</w:t>
            </w:r>
          </w:p>
        </w:tc>
        <w:tc>
          <w:tcPr>
            <w:tcW w:w="6101" w:type="dxa"/>
            <w:tcBorders>
              <w:bottom w:val="single" w:color="auto" w:sz="4" w:space="0"/>
            </w:tcBorders>
            <w:vAlign w:val="center"/>
          </w:tcPr>
          <w:p w14:paraId="4D24B738">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参选人根据本项目提供总体服务方案，包括但不限于项目实施组织方案、人员组织架构、整体服务标准：</w:t>
            </w:r>
          </w:p>
          <w:p w14:paraId="140ACCD2">
            <w:pPr>
              <w:pStyle w:val="8"/>
              <w:rPr>
                <w:rFonts w:hint="eastAsia" w:ascii="宋体" w:hAnsi="宋体" w:eastAsia="宋体" w:cs="宋体"/>
                <w:b w:val="0"/>
                <w:bCs/>
                <w:color w:val="auto"/>
                <w:kern w:val="2"/>
                <w:highlight w:val="none"/>
              </w:rPr>
            </w:pPr>
            <w:r>
              <w:rPr>
                <w:rFonts w:hint="eastAsia" w:ascii="宋体" w:hAnsi="宋体" w:eastAsia="宋体" w:cs="宋体"/>
                <w:color w:val="auto"/>
                <w:highlight w:val="none"/>
                <w:lang w:val="en-US" w:eastAsia="zh-CN"/>
              </w:rPr>
              <w:t>1、</w:t>
            </w:r>
            <w:r>
              <w:rPr>
                <w:rFonts w:hint="eastAsia" w:ascii="宋体" w:hAnsi="宋体" w:eastAsia="宋体" w:cs="宋体"/>
                <w:b w:val="0"/>
                <w:bCs/>
                <w:color w:val="auto"/>
                <w:kern w:val="2"/>
                <w:highlight w:val="none"/>
              </w:rPr>
              <w:t>参选人能提供总体服务方案，方案包括以上内容得</w:t>
            </w:r>
            <w:r>
              <w:rPr>
                <w:rFonts w:hint="eastAsia" w:ascii="宋体" w:hAnsi="宋体" w:cs="宋体"/>
                <w:b w:val="0"/>
                <w:bCs/>
                <w:color w:val="auto"/>
                <w:kern w:val="2"/>
                <w:highlight w:val="none"/>
                <w:lang w:val="en-US" w:eastAsia="zh-CN"/>
              </w:rPr>
              <w:t>3</w:t>
            </w:r>
            <w:r>
              <w:rPr>
                <w:rFonts w:hint="eastAsia" w:ascii="宋体" w:hAnsi="宋体" w:eastAsia="宋体" w:cs="宋体"/>
                <w:b w:val="0"/>
                <w:bCs/>
                <w:color w:val="auto"/>
                <w:kern w:val="2"/>
                <w:highlight w:val="none"/>
              </w:rPr>
              <w:t>分；若没有提供方案或内容没有包括以上内容的，本小项及以下评分项均不得分。</w:t>
            </w:r>
          </w:p>
          <w:p w14:paraId="45D6A4D2">
            <w:pPr>
              <w:pStyle w:val="8"/>
              <w:rPr>
                <w:rFonts w:hint="eastAsia" w:ascii="宋体" w:hAnsi="宋体" w:cs="宋体"/>
                <w:b w:val="0"/>
                <w:bCs/>
                <w:color w:val="auto"/>
                <w:kern w:val="2"/>
                <w:highlight w:val="none"/>
                <w:lang w:val="en-US" w:eastAsia="zh-CN"/>
              </w:rPr>
            </w:pPr>
            <w:r>
              <w:rPr>
                <w:rFonts w:hint="eastAsia" w:ascii="宋体" w:hAnsi="宋体" w:cs="宋体"/>
                <w:b w:val="0"/>
                <w:bCs/>
                <w:color w:val="auto"/>
                <w:kern w:val="2"/>
                <w:highlight w:val="none"/>
                <w:lang w:val="en-US" w:eastAsia="zh-CN"/>
              </w:rPr>
              <w:t>2、</w:t>
            </w:r>
            <w:r>
              <w:rPr>
                <w:rFonts w:hint="eastAsia" w:ascii="宋体" w:hAnsi="宋体" w:eastAsia="宋体" w:cs="宋体"/>
                <w:b w:val="0"/>
                <w:bCs/>
                <w:color w:val="auto"/>
                <w:kern w:val="2"/>
                <w:highlight w:val="none"/>
              </w:rPr>
              <w:t>项目实施方案组织设计</w:t>
            </w:r>
            <w:r>
              <w:rPr>
                <w:rFonts w:hint="eastAsia" w:ascii="宋体" w:hAnsi="宋体" w:cs="宋体"/>
                <w:b w:val="0"/>
                <w:bCs/>
                <w:color w:val="auto"/>
                <w:kern w:val="2"/>
                <w:highlight w:val="none"/>
                <w:lang w:val="en-US" w:eastAsia="zh-CN"/>
              </w:rPr>
              <w:t>完整</w:t>
            </w:r>
            <w:r>
              <w:rPr>
                <w:rFonts w:hint="eastAsia" w:ascii="宋体" w:hAnsi="宋体" w:eastAsia="宋体" w:cs="宋体"/>
                <w:b w:val="0"/>
                <w:bCs/>
                <w:color w:val="auto"/>
                <w:kern w:val="2"/>
                <w:highlight w:val="none"/>
              </w:rPr>
              <w:t>详细</w:t>
            </w:r>
            <w:r>
              <w:rPr>
                <w:rFonts w:hint="eastAsia" w:ascii="宋体" w:hAnsi="宋体" w:cs="宋体"/>
                <w:b w:val="0"/>
                <w:bCs/>
                <w:color w:val="auto"/>
                <w:kern w:val="2"/>
                <w:highlight w:val="none"/>
                <w:lang w:eastAsia="zh-CN"/>
              </w:rPr>
              <w:t>、</w:t>
            </w:r>
            <w:r>
              <w:rPr>
                <w:rFonts w:hint="eastAsia" w:ascii="宋体" w:hAnsi="宋体" w:cs="宋体"/>
                <w:b w:val="0"/>
                <w:bCs/>
                <w:color w:val="auto"/>
                <w:kern w:val="2"/>
                <w:highlight w:val="none"/>
                <w:lang w:val="en-US" w:eastAsia="zh-CN"/>
              </w:rPr>
              <w:t>合理</w:t>
            </w:r>
            <w:r>
              <w:rPr>
                <w:rFonts w:hint="eastAsia" w:ascii="宋体" w:hAnsi="宋体" w:cs="宋体"/>
                <w:b w:val="0"/>
                <w:bCs/>
                <w:color w:val="auto"/>
                <w:kern w:val="2"/>
                <w:highlight w:val="none"/>
                <w:lang w:eastAsia="zh-CN"/>
              </w:rPr>
              <w:t>，</w:t>
            </w:r>
            <w:r>
              <w:rPr>
                <w:rFonts w:hint="eastAsia" w:ascii="宋体" w:hAnsi="宋体" w:eastAsia="宋体" w:cs="宋体"/>
                <w:b w:val="0"/>
                <w:bCs/>
                <w:color w:val="auto"/>
                <w:kern w:val="2"/>
                <w:highlight w:val="none"/>
              </w:rPr>
              <w:t>人员组织架构</w:t>
            </w:r>
            <w:r>
              <w:rPr>
                <w:rFonts w:hint="eastAsia" w:ascii="宋体" w:hAnsi="宋体" w:cs="宋体"/>
                <w:b w:val="0"/>
                <w:bCs/>
                <w:color w:val="auto"/>
                <w:kern w:val="2"/>
                <w:highlight w:val="none"/>
                <w:lang w:val="en-US" w:eastAsia="zh-CN"/>
              </w:rPr>
              <w:t>内容清晰、</w:t>
            </w:r>
            <w:r>
              <w:rPr>
                <w:rFonts w:hint="eastAsia" w:ascii="宋体" w:hAnsi="宋体" w:eastAsia="宋体" w:cs="宋体"/>
                <w:b w:val="0"/>
                <w:bCs/>
                <w:color w:val="auto"/>
                <w:kern w:val="2"/>
                <w:highlight w:val="none"/>
              </w:rPr>
              <w:t>具有服务组织机构图并有详细说明</w:t>
            </w:r>
            <w:r>
              <w:rPr>
                <w:rFonts w:hint="eastAsia" w:ascii="宋体" w:hAnsi="宋体" w:cs="宋体"/>
                <w:b w:val="0"/>
                <w:bCs/>
                <w:color w:val="auto"/>
                <w:kern w:val="2"/>
                <w:highlight w:val="none"/>
                <w:lang w:eastAsia="zh-CN"/>
              </w:rPr>
              <w:t>，</w:t>
            </w:r>
            <w:r>
              <w:rPr>
                <w:rFonts w:hint="eastAsia" w:ascii="宋体" w:hAnsi="宋体" w:eastAsia="宋体" w:cs="宋体"/>
                <w:b w:val="0"/>
                <w:bCs/>
                <w:color w:val="auto"/>
                <w:kern w:val="2"/>
                <w:highlight w:val="none"/>
              </w:rPr>
              <w:t>整体服务标准</w:t>
            </w:r>
            <w:r>
              <w:rPr>
                <w:rFonts w:hint="eastAsia" w:ascii="宋体" w:hAnsi="宋体" w:cs="宋体"/>
                <w:b w:val="0"/>
                <w:bCs/>
                <w:color w:val="auto"/>
                <w:kern w:val="2"/>
                <w:highlight w:val="none"/>
                <w:lang w:val="en-US" w:eastAsia="zh-CN"/>
              </w:rPr>
              <w:t>内容详尽、针对性强，对项目顺利实施提供有力保障，得6分；</w:t>
            </w:r>
          </w:p>
          <w:p w14:paraId="7F371E24">
            <w:pPr>
              <w:pStyle w:val="8"/>
              <w:rPr>
                <w:rFonts w:hint="eastAsia" w:ascii="宋体" w:hAnsi="宋体" w:cs="宋体"/>
                <w:b w:val="0"/>
                <w:bCs/>
                <w:color w:val="auto"/>
                <w:kern w:val="2"/>
                <w:highlight w:val="none"/>
                <w:lang w:val="en-US" w:eastAsia="zh-CN"/>
              </w:rPr>
            </w:pPr>
            <w:r>
              <w:rPr>
                <w:rFonts w:hint="eastAsia" w:ascii="宋体" w:hAnsi="宋体" w:cs="宋体"/>
                <w:b w:val="0"/>
                <w:bCs/>
                <w:color w:val="auto"/>
                <w:kern w:val="2"/>
                <w:highlight w:val="none"/>
                <w:lang w:val="en-US" w:eastAsia="zh-CN"/>
              </w:rPr>
              <w:t>3、</w:t>
            </w:r>
            <w:r>
              <w:rPr>
                <w:rFonts w:hint="eastAsia" w:ascii="宋体" w:hAnsi="宋体" w:eastAsia="宋体" w:cs="宋体"/>
                <w:b w:val="0"/>
                <w:bCs/>
                <w:color w:val="auto"/>
                <w:kern w:val="2"/>
                <w:highlight w:val="none"/>
              </w:rPr>
              <w:t>项目实施方案组织设计</w:t>
            </w:r>
            <w:r>
              <w:rPr>
                <w:rFonts w:hint="eastAsia" w:ascii="宋体" w:hAnsi="宋体" w:cs="宋体"/>
                <w:b w:val="0"/>
                <w:bCs/>
                <w:color w:val="auto"/>
                <w:kern w:val="2"/>
                <w:highlight w:val="none"/>
                <w:lang w:val="en-US" w:eastAsia="zh-CN"/>
              </w:rPr>
              <w:t>详尽</w:t>
            </w:r>
            <w:r>
              <w:rPr>
                <w:rFonts w:hint="eastAsia" w:ascii="宋体" w:hAnsi="宋体" w:cs="宋体"/>
                <w:b w:val="0"/>
                <w:bCs/>
                <w:color w:val="auto"/>
                <w:kern w:val="2"/>
                <w:highlight w:val="none"/>
                <w:lang w:eastAsia="zh-CN"/>
              </w:rPr>
              <w:t>，</w:t>
            </w:r>
            <w:r>
              <w:rPr>
                <w:rFonts w:hint="eastAsia" w:ascii="宋体" w:hAnsi="宋体" w:eastAsia="宋体" w:cs="宋体"/>
                <w:b w:val="0"/>
                <w:bCs/>
                <w:color w:val="auto"/>
                <w:kern w:val="2"/>
                <w:highlight w:val="none"/>
              </w:rPr>
              <w:t>人员组织架构</w:t>
            </w:r>
            <w:r>
              <w:rPr>
                <w:rFonts w:hint="eastAsia" w:ascii="宋体" w:hAnsi="宋体" w:cs="宋体"/>
                <w:b w:val="0"/>
                <w:bCs/>
                <w:color w:val="auto"/>
                <w:kern w:val="2"/>
                <w:highlight w:val="none"/>
                <w:lang w:val="en-US" w:eastAsia="zh-CN"/>
              </w:rPr>
              <w:t>内容较清晰、</w:t>
            </w:r>
            <w:r>
              <w:rPr>
                <w:rFonts w:hint="eastAsia" w:ascii="宋体" w:hAnsi="宋体" w:eastAsia="宋体" w:cs="宋体"/>
                <w:b w:val="0"/>
                <w:bCs/>
                <w:color w:val="auto"/>
                <w:kern w:val="2"/>
                <w:highlight w:val="none"/>
              </w:rPr>
              <w:t>具有服务组织机构图并有详细说明</w:t>
            </w:r>
            <w:r>
              <w:rPr>
                <w:rFonts w:hint="eastAsia" w:ascii="宋体" w:hAnsi="宋体" w:cs="宋体"/>
                <w:b w:val="0"/>
                <w:bCs/>
                <w:color w:val="auto"/>
                <w:kern w:val="2"/>
                <w:highlight w:val="none"/>
                <w:lang w:eastAsia="zh-CN"/>
              </w:rPr>
              <w:t>，</w:t>
            </w:r>
            <w:r>
              <w:rPr>
                <w:rFonts w:hint="eastAsia" w:ascii="宋体" w:hAnsi="宋体" w:eastAsia="宋体" w:cs="宋体"/>
                <w:b w:val="0"/>
                <w:bCs/>
                <w:color w:val="auto"/>
                <w:kern w:val="2"/>
                <w:highlight w:val="none"/>
              </w:rPr>
              <w:t>整体服务标准</w:t>
            </w:r>
            <w:r>
              <w:rPr>
                <w:rFonts w:hint="eastAsia" w:ascii="宋体" w:hAnsi="宋体" w:cs="宋体"/>
                <w:b w:val="0"/>
                <w:bCs/>
                <w:color w:val="auto"/>
                <w:kern w:val="2"/>
                <w:highlight w:val="none"/>
                <w:lang w:val="en-US" w:eastAsia="zh-CN"/>
              </w:rPr>
              <w:t>内容较完整、有一定针对性，基本满足采购需求，得3分；</w:t>
            </w:r>
          </w:p>
          <w:p w14:paraId="1BE1E128">
            <w:pPr>
              <w:pStyle w:val="8"/>
              <w:rPr>
                <w:rFonts w:hint="eastAsia" w:ascii="宋体" w:hAnsi="宋体" w:cs="宋体"/>
                <w:b w:val="0"/>
                <w:bCs/>
                <w:color w:val="auto"/>
                <w:kern w:val="2"/>
                <w:highlight w:val="none"/>
                <w:lang w:val="en-US" w:eastAsia="zh-CN"/>
              </w:rPr>
            </w:pPr>
            <w:r>
              <w:rPr>
                <w:rFonts w:hint="eastAsia" w:ascii="宋体" w:hAnsi="宋体" w:cs="宋体"/>
                <w:b w:val="0"/>
                <w:bCs/>
                <w:color w:val="auto"/>
                <w:kern w:val="2"/>
                <w:highlight w:val="none"/>
                <w:lang w:val="en-US" w:eastAsia="zh-CN"/>
              </w:rPr>
              <w:t>4、</w:t>
            </w:r>
            <w:r>
              <w:rPr>
                <w:rFonts w:hint="eastAsia" w:ascii="宋体" w:hAnsi="宋体" w:eastAsia="宋体" w:cs="宋体"/>
                <w:b w:val="0"/>
                <w:bCs/>
                <w:color w:val="auto"/>
                <w:kern w:val="2"/>
                <w:highlight w:val="none"/>
              </w:rPr>
              <w:t>项目实施方案组织设计</w:t>
            </w:r>
            <w:r>
              <w:rPr>
                <w:rFonts w:hint="eastAsia" w:ascii="宋体" w:hAnsi="宋体" w:cs="宋体"/>
                <w:b w:val="0"/>
                <w:bCs/>
                <w:color w:val="auto"/>
                <w:kern w:val="2"/>
                <w:highlight w:val="none"/>
                <w:lang w:val="en-US" w:eastAsia="zh-CN"/>
              </w:rPr>
              <w:t>完整</w:t>
            </w:r>
            <w:r>
              <w:rPr>
                <w:rFonts w:hint="eastAsia" w:ascii="宋体" w:hAnsi="宋体" w:cs="宋体"/>
                <w:b w:val="0"/>
                <w:bCs/>
                <w:color w:val="auto"/>
                <w:kern w:val="2"/>
                <w:highlight w:val="none"/>
                <w:lang w:eastAsia="zh-CN"/>
              </w:rPr>
              <w:t>，</w:t>
            </w:r>
            <w:r>
              <w:rPr>
                <w:rFonts w:hint="eastAsia" w:ascii="宋体" w:hAnsi="宋体" w:eastAsia="宋体" w:cs="宋体"/>
                <w:b w:val="0"/>
                <w:bCs/>
                <w:color w:val="auto"/>
                <w:kern w:val="2"/>
                <w:highlight w:val="none"/>
              </w:rPr>
              <w:t>人员组织架构</w:t>
            </w:r>
            <w:r>
              <w:rPr>
                <w:rFonts w:hint="eastAsia" w:ascii="宋体" w:hAnsi="宋体" w:cs="宋体"/>
                <w:b w:val="0"/>
                <w:bCs/>
                <w:color w:val="auto"/>
                <w:kern w:val="2"/>
                <w:highlight w:val="none"/>
                <w:lang w:val="en-US" w:eastAsia="zh-CN"/>
              </w:rPr>
              <w:t>内容较清晰、</w:t>
            </w:r>
            <w:r>
              <w:rPr>
                <w:rFonts w:hint="eastAsia" w:ascii="宋体" w:hAnsi="宋体" w:eastAsia="宋体" w:cs="宋体"/>
                <w:b w:val="0"/>
                <w:bCs/>
                <w:color w:val="auto"/>
                <w:kern w:val="2"/>
                <w:highlight w:val="none"/>
              </w:rPr>
              <w:t>具有服务组织机构图</w:t>
            </w:r>
            <w:r>
              <w:rPr>
                <w:rFonts w:hint="eastAsia" w:ascii="宋体" w:hAnsi="宋体" w:cs="宋体"/>
                <w:b w:val="0"/>
                <w:bCs/>
                <w:color w:val="auto"/>
                <w:kern w:val="2"/>
                <w:highlight w:val="none"/>
                <w:lang w:eastAsia="zh-CN"/>
              </w:rPr>
              <w:t>，</w:t>
            </w:r>
            <w:r>
              <w:rPr>
                <w:rFonts w:hint="eastAsia" w:ascii="宋体" w:hAnsi="宋体" w:eastAsia="宋体" w:cs="宋体"/>
                <w:b w:val="0"/>
                <w:bCs/>
                <w:color w:val="auto"/>
                <w:kern w:val="2"/>
                <w:highlight w:val="none"/>
              </w:rPr>
              <w:t>整体服务标准</w:t>
            </w:r>
            <w:r>
              <w:rPr>
                <w:rFonts w:hint="eastAsia" w:ascii="宋体" w:hAnsi="宋体" w:cs="宋体"/>
                <w:b w:val="0"/>
                <w:bCs/>
                <w:color w:val="auto"/>
                <w:kern w:val="2"/>
                <w:highlight w:val="none"/>
                <w:lang w:val="en-US" w:eastAsia="zh-CN"/>
              </w:rPr>
              <w:t>内容较完整、但缺乏针对性，基本满足采购需求，得0.5分；</w:t>
            </w:r>
          </w:p>
          <w:p w14:paraId="05ED5FB7">
            <w:pPr>
              <w:pStyle w:val="8"/>
              <w:rPr>
                <w:rFonts w:hint="eastAsia" w:ascii="宋体" w:hAnsi="宋体" w:eastAsia="宋体" w:cs="宋体"/>
                <w:b w:val="0"/>
                <w:bCs/>
                <w:color w:val="auto"/>
                <w:kern w:val="2"/>
                <w:highlight w:val="none"/>
              </w:rPr>
            </w:pPr>
            <w:r>
              <w:rPr>
                <w:rFonts w:hint="eastAsia" w:ascii="宋体" w:hAnsi="宋体" w:cs="宋体"/>
                <w:b w:val="0"/>
                <w:bCs/>
                <w:color w:val="auto"/>
                <w:kern w:val="2"/>
                <w:highlight w:val="none"/>
                <w:lang w:val="en-US" w:eastAsia="zh-CN"/>
              </w:rPr>
              <w:t>5、其他情况不得分。</w:t>
            </w:r>
          </w:p>
        </w:tc>
        <w:tc>
          <w:tcPr>
            <w:tcW w:w="1018" w:type="dxa"/>
            <w:tcBorders>
              <w:bottom w:val="single" w:color="auto" w:sz="4" w:space="0"/>
            </w:tcBorders>
            <w:vAlign w:val="center"/>
          </w:tcPr>
          <w:p w14:paraId="7C1F5EF4">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9分</w:t>
            </w:r>
          </w:p>
        </w:tc>
      </w:tr>
      <w:tr w14:paraId="4E74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8" w:type="dxa"/>
            <w:tcBorders>
              <w:bottom w:val="single" w:color="auto" w:sz="4" w:space="0"/>
            </w:tcBorders>
            <w:vAlign w:val="center"/>
          </w:tcPr>
          <w:p w14:paraId="52992B9C">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kern w:val="2"/>
                <w:highlight w:val="none"/>
                <w:lang w:val="en-US" w:eastAsia="zh-CN"/>
              </w:rPr>
            </w:pPr>
            <w:r>
              <w:rPr>
                <w:rFonts w:hint="eastAsia" w:ascii="宋体" w:hAnsi="宋体" w:eastAsia="宋体" w:cs="宋体"/>
                <w:b w:val="0"/>
                <w:bCs/>
                <w:color w:val="auto"/>
                <w:kern w:val="2"/>
                <w:highlight w:val="none"/>
                <w:lang w:val="en-US" w:eastAsia="zh-CN"/>
              </w:rPr>
              <w:t>5</w:t>
            </w:r>
          </w:p>
        </w:tc>
        <w:tc>
          <w:tcPr>
            <w:tcW w:w="1303" w:type="dxa"/>
            <w:tcBorders>
              <w:bottom w:val="single" w:color="auto" w:sz="4" w:space="0"/>
            </w:tcBorders>
            <w:vAlign w:val="center"/>
          </w:tcPr>
          <w:p w14:paraId="47ABC425">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服务质量保障方案</w:t>
            </w:r>
          </w:p>
        </w:tc>
        <w:tc>
          <w:tcPr>
            <w:tcW w:w="6101" w:type="dxa"/>
            <w:tcBorders>
              <w:bottom w:val="single" w:color="auto" w:sz="4" w:space="0"/>
            </w:tcBorders>
            <w:vAlign w:val="center"/>
          </w:tcPr>
          <w:p w14:paraId="7519F9A5">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参选人根据本项目提供</w:t>
            </w:r>
            <w:r>
              <w:rPr>
                <w:rFonts w:hint="eastAsia" w:ascii="宋体" w:hAnsi="宋体" w:cs="宋体"/>
                <w:b w:val="0"/>
                <w:bCs/>
                <w:color w:val="auto"/>
                <w:kern w:val="2"/>
                <w:highlight w:val="none"/>
                <w:lang w:val="en-US" w:eastAsia="zh-CN"/>
              </w:rPr>
              <w:t>服务质量保障方案</w:t>
            </w:r>
            <w:r>
              <w:rPr>
                <w:rFonts w:hint="eastAsia" w:ascii="宋体" w:hAnsi="宋体" w:eastAsia="宋体" w:cs="宋体"/>
                <w:b w:val="0"/>
                <w:bCs/>
                <w:color w:val="auto"/>
                <w:kern w:val="2"/>
                <w:highlight w:val="none"/>
              </w:rPr>
              <w:t>，包括但不限于人员安全培训、劳动防护用品（工作服、工作鞋、劳保手套、护目镜、防护口罩）、安全作业制度：</w:t>
            </w:r>
          </w:p>
          <w:p w14:paraId="4EF3647E">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1、参选人能提供服务质量保障方案，方案包括以上内容得</w:t>
            </w:r>
            <w:r>
              <w:rPr>
                <w:rFonts w:hint="eastAsia" w:ascii="宋体" w:hAnsi="宋体" w:cs="宋体"/>
                <w:b w:val="0"/>
                <w:bCs/>
                <w:color w:val="auto"/>
                <w:kern w:val="2"/>
                <w:highlight w:val="none"/>
                <w:lang w:val="en-US" w:eastAsia="zh-CN"/>
              </w:rPr>
              <w:t>2</w:t>
            </w:r>
            <w:r>
              <w:rPr>
                <w:rFonts w:hint="eastAsia" w:ascii="宋体" w:hAnsi="宋体" w:eastAsia="宋体" w:cs="宋体"/>
                <w:b w:val="0"/>
                <w:bCs/>
                <w:color w:val="auto"/>
                <w:kern w:val="2"/>
                <w:highlight w:val="none"/>
              </w:rPr>
              <w:t>分；若没有提供方案或内容没有包括以上内容的，本小项及以下评分项均不得分。</w:t>
            </w:r>
          </w:p>
          <w:p w14:paraId="03A4A535">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2、人员安全培训≥3次，个人劳动防护用品配备齐全，安全作业制度详细，得</w:t>
            </w:r>
            <w:r>
              <w:rPr>
                <w:rFonts w:hint="eastAsia" w:ascii="宋体" w:hAnsi="宋体" w:cs="宋体"/>
                <w:b w:val="0"/>
                <w:bCs/>
                <w:color w:val="auto"/>
                <w:kern w:val="2"/>
                <w:highlight w:val="none"/>
                <w:lang w:val="en-US" w:eastAsia="zh-CN"/>
              </w:rPr>
              <w:t>4</w:t>
            </w:r>
            <w:r>
              <w:rPr>
                <w:rFonts w:hint="eastAsia" w:ascii="宋体" w:hAnsi="宋体" w:eastAsia="宋体" w:cs="宋体"/>
                <w:b w:val="0"/>
                <w:bCs/>
                <w:color w:val="auto"/>
                <w:kern w:val="2"/>
                <w:highlight w:val="none"/>
              </w:rPr>
              <w:t>分；</w:t>
            </w:r>
          </w:p>
          <w:p w14:paraId="6389FE7F">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3、3次＜人员安全培训≥2次，个人劳动防护用品配备缺失2项或以上，安全作业制度详细，得</w:t>
            </w:r>
            <w:r>
              <w:rPr>
                <w:rFonts w:hint="eastAsia" w:ascii="宋体" w:hAnsi="宋体" w:cs="宋体"/>
                <w:b w:val="0"/>
                <w:bCs/>
                <w:color w:val="auto"/>
                <w:kern w:val="2"/>
                <w:highlight w:val="none"/>
                <w:lang w:val="en-US" w:eastAsia="zh-CN"/>
              </w:rPr>
              <w:t>2</w:t>
            </w:r>
            <w:r>
              <w:rPr>
                <w:rFonts w:hint="eastAsia" w:ascii="宋体" w:hAnsi="宋体" w:eastAsia="宋体" w:cs="宋体"/>
                <w:b w:val="0"/>
                <w:bCs/>
                <w:color w:val="auto"/>
                <w:kern w:val="2"/>
                <w:highlight w:val="none"/>
              </w:rPr>
              <w:t>分；</w:t>
            </w:r>
          </w:p>
          <w:p w14:paraId="495AF1A0">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4、人员安全培训＜2次，个人劳动防护用品缺失3项或以上，安全作业制度详细，得</w:t>
            </w:r>
            <w:r>
              <w:rPr>
                <w:rFonts w:hint="eastAsia" w:ascii="宋体" w:hAnsi="宋体" w:cs="宋体"/>
                <w:b w:val="0"/>
                <w:bCs/>
                <w:color w:val="auto"/>
                <w:kern w:val="2"/>
                <w:highlight w:val="none"/>
                <w:lang w:val="en-US" w:eastAsia="zh-CN"/>
              </w:rPr>
              <w:t>1</w:t>
            </w:r>
            <w:r>
              <w:rPr>
                <w:rFonts w:hint="eastAsia" w:ascii="宋体" w:hAnsi="宋体" w:eastAsia="宋体" w:cs="宋体"/>
                <w:b w:val="0"/>
                <w:bCs/>
                <w:color w:val="auto"/>
                <w:kern w:val="2"/>
                <w:highlight w:val="none"/>
              </w:rPr>
              <w:t>分；</w:t>
            </w:r>
          </w:p>
          <w:p w14:paraId="1E0C32D1">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cs="宋体"/>
                <w:b w:val="0"/>
                <w:bCs/>
                <w:color w:val="auto"/>
                <w:kern w:val="2"/>
                <w:highlight w:val="none"/>
                <w:lang w:val="en-US" w:eastAsia="zh-CN"/>
              </w:rPr>
              <w:t>5、</w:t>
            </w:r>
            <w:r>
              <w:rPr>
                <w:rFonts w:hint="eastAsia" w:ascii="宋体" w:hAnsi="宋体" w:eastAsia="宋体" w:cs="宋体"/>
                <w:b w:val="0"/>
                <w:bCs/>
                <w:color w:val="auto"/>
                <w:kern w:val="2"/>
                <w:highlight w:val="none"/>
              </w:rPr>
              <w:t>其他情况不得分。</w:t>
            </w:r>
          </w:p>
        </w:tc>
        <w:tc>
          <w:tcPr>
            <w:tcW w:w="1018" w:type="dxa"/>
            <w:tcBorders>
              <w:bottom w:val="single" w:color="auto" w:sz="4" w:space="0"/>
            </w:tcBorders>
            <w:vAlign w:val="center"/>
          </w:tcPr>
          <w:p w14:paraId="6058B604">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6分</w:t>
            </w:r>
          </w:p>
        </w:tc>
      </w:tr>
      <w:tr w14:paraId="68F6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8" w:type="dxa"/>
            <w:tcBorders>
              <w:bottom w:val="single" w:color="auto" w:sz="4" w:space="0"/>
            </w:tcBorders>
            <w:vAlign w:val="center"/>
          </w:tcPr>
          <w:p w14:paraId="2E98AAB0">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kern w:val="2"/>
                <w:highlight w:val="none"/>
                <w:lang w:val="en-US" w:eastAsia="zh-CN"/>
              </w:rPr>
            </w:pPr>
            <w:r>
              <w:rPr>
                <w:rFonts w:hint="eastAsia" w:ascii="宋体" w:hAnsi="宋体" w:eastAsia="宋体" w:cs="宋体"/>
                <w:b w:val="0"/>
                <w:bCs/>
                <w:color w:val="auto"/>
                <w:kern w:val="2"/>
                <w:highlight w:val="none"/>
                <w:lang w:val="en-US" w:eastAsia="zh-CN"/>
              </w:rPr>
              <w:t>6</w:t>
            </w:r>
          </w:p>
        </w:tc>
        <w:tc>
          <w:tcPr>
            <w:tcW w:w="1303" w:type="dxa"/>
            <w:tcBorders>
              <w:bottom w:val="single" w:color="auto" w:sz="4" w:space="0"/>
            </w:tcBorders>
            <w:vAlign w:val="center"/>
          </w:tcPr>
          <w:p w14:paraId="581ED242">
            <w:pPr>
              <w:pStyle w:val="35"/>
              <w:keepNext w:val="0"/>
              <w:keepLines w:val="0"/>
              <w:widowControl w:val="0"/>
              <w:suppressLineNumbers w:val="0"/>
              <w:spacing w:before="0" w:beforeAutospacing="0" w:after="0" w:afterAutospacing="0" w:line="240" w:lineRule="auto"/>
              <w:ind w:left="0" w:right="0"/>
              <w:textAlignment w:val="auto"/>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应急处理方案</w:t>
            </w:r>
          </w:p>
        </w:tc>
        <w:tc>
          <w:tcPr>
            <w:tcW w:w="6101" w:type="dxa"/>
            <w:tcBorders>
              <w:bottom w:val="single" w:color="auto" w:sz="4" w:space="0"/>
            </w:tcBorders>
            <w:vAlign w:val="center"/>
          </w:tcPr>
          <w:p w14:paraId="5F7658E4">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参选人根据本项目提供应急处理方案，包括但不限于紧急与突发事件处置流程、人员调配措施、运输调配措施（</w:t>
            </w:r>
            <w:r>
              <w:rPr>
                <w:rFonts w:hint="eastAsia" w:ascii="宋体" w:hAnsi="宋体" w:eastAsia="宋体" w:cs="宋体"/>
                <w:color w:val="auto"/>
                <w:highlight w:val="none"/>
                <w:lang w:val="en-US" w:eastAsia="zh-CN"/>
              </w:rPr>
              <w:t>全密闭自动卸载车辆</w:t>
            </w:r>
            <w:r>
              <w:rPr>
                <w:rFonts w:hint="eastAsia" w:ascii="宋体" w:hAnsi="宋体" w:eastAsia="宋体" w:cs="宋体"/>
                <w:b w:val="0"/>
                <w:bCs/>
                <w:color w:val="auto"/>
                <w:kern w:val="2"/>
                <w:highlight w:val="none"/>
              </w:rPr>
              <w:t>与垃圾压缩车）：</w:t>
            </w:r>
          </w:p>
          <w:p w14:paraId="262AF686">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1、参选人能提供应急处理方案，方案包括以上内容得</w:t>
            </w:r>
            <w:r>
              <w:rPr>
                <w:rFonts w:hint="eastAsia" w:ascii="宋体" w:hAnsi="宋体" w:cs="宋体"/>
                <w:b w:val="0"/>
                <w:bCs/>
                <w:color w:val="auto"/>
                <w:kern w:val="2"/>
                <w:highlight w:val="none"/>
                <w:lang w:val="en-US" w:eastAsia="zh-CN"/>
              </w:rPr>
              <w:t>3</w:t>
            </w:r>
            <w:r>
              <w:rPr>
                <w:rFonts w:hint="eastAsia" w:ascii="宋体" w:hAnsi="宋体" w:eastAsia="宋体" w:cs="宋体"/>
                <w:b w:val="0"/>
                <w:bCs/>
                <w:color w:val="auto"/>
                <w:kern w:val="2"/>
                <w:highlight w:val="none"/>
              </w:rPr>
              <w:t>分；若没有提供方案或内容没有包括以上内容的，本小项及以下评分项均不得分。</w:t>
            </w:r>
          </w:p>
          <w:p w14:paraId="5E2DC732">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2、紧急与突发事件处置流程分级设置，各级处理环节有明确的岗位与职责、处理时长，可调配人员≥3人，可调配</w:t>
            </w:r>
            <w:r>
              <w:rPr>
                <w:rFonts w:hint="eastAsia" w:ascii="宋体" w:hAnsi="宋体" w:eastAsia="宋体" w:cs="宋体"/>
                <w:color w:val="auto"/>
                <w:highlight w:val="none"/>
                <w:lang w:val="en-US" w:eastAsia="zh-CN"/>
              </w:rPr>
              <w:t>全密闭自动卸载车辆</w:t>
            </w:r>
            <w:r>
              <w:rPr>
                <w:rFonts w:hint="eastAsia" w:ascii="宋体" w:hAnsi="宋体" w:eastAsia="宋体" w:cs="宋体"/>
                <w:b w:val="0"/>
                <w:bCs/>
                <w:color w:val="auto"/>
                <w:kern w:val="2"/>
                <w:highlight w:val="none"/>
              </w:rPr>
              <w:t>≥2辆，可调配垃圾压缩车≥2辆，得</w:t>
            </w:r>
            <w:r>
              <w:rPr>
                <w:rFonts w:hint="eastAsia" w:ascii="宋体" w:hAnsi="宋体" w:cs="宋体"/>
                <w:b w:val="0"/>
                <w:bCs/>
                <w:color w:val="auto"/>
                <w:kern w:val="2"/>
                <w:highlight w:val="none"/>
                <w:lang w:val="en-US" w:eastAsia="zh-CN"/>
              </w:rPr>
              <w:t>8</w:t>
            </w:r>
            <w:r>
              <w:rPr>
                <w:rFonts w:hint="eastAsia" w:ascii="宋体" w:hAnsi="宋体" w:eastAsia="宋体" w:cs="宋体"/>
                <w:b w:val="0"/>
                <w:bCs/>
                <w:color w:val="auto"/>
                <w:kern w:val="2"/>
                <w:highlight w:val="none"/>
              </w:rPr>
              <w:t>分；</w:t>
            </w:r>
          </w:p>
          <w:p w14:paraId="4B6927FE">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3、紧急与突发事件处置流程分级设置，各级处理环节有明确的岗位与职责、处理时长，可调配人员≥2人，可调配</w:t>
            </w:r>
            <w:r>
              <w:rPr>
                <w:rFonts w:hint="eastAsia" w:ascii="宋体" w:hAnsi="宋体" w:eastAsia="宋体" w:cs="宋体"/>
                <w:color w:val="auto"/>
                <w:highlight w:val="none"/>
                <w:lang w:val="en-US" w:eastAsia="zh-CN"/>
              </w:rPr>
              <w:t>全密闭自动卸载车辆</w:t>
            </w:r>
            <w:r>
              <w:rPr>
                <w:rFonts w:hint="eastAsia" w:ascii="宋体" w:hAnsi="宋体" w:eastAsia="宋体" w:cs="宋体"/>
                <w:b w:val="0"/>
                <w:bCs/>
                <w:color w:val="auto"/>
                <w:kern w:val="2"/>
                <w:highlight w:val="none"/>
              </w:rPr>
              <w:t>≥1辆，可调配垃圾压缩车≥1辆，得</w:t>
            </w:r>
            <w:r>
              <w:rPr>
                <w:rFonts w:hint="eastAsia" w:ascii="宋体" w:hAnsi="宋体" w:cs="宋体"/>
                <w:b w:val="0"/>
                <w:bCs/>
                <w:color w:val="auto"/>
                <w:kern w:val="2"/>
                <w:highlight w:val="none"/>
                <w:lang w:val="en-US" w:eastAsia="zh-CN"/>
              </w:rPr>
              <w:t>4</w:t>
            </w:r>
            <w:r>
              <w:rPr>
                <w:rFonts w:hint="eastAsia" w:ascii="宋体" w:hAnsi="宋体" w:eastAsia="宋体" w:cs="宋体"/>
                <w:b w:val="0"/>
                <w:bCs/>
                <w:color w:val="auto"/>
                <w:kern w:val="2"/>
                <w:highlight w:val="none"/>
              </w:rPr>
              <w:t>分；</w:t>
            </w:r>
          </w:p>
          <w:p w14:paraId="4BCC1CB4">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4、紧急与突发事件处置流程分级设置，各级处理环节没有明确的岗位与职责、处理时长，可调配人员≥1人，没有可调配</w:t>
            </w:r>
            <w:r>
              <w:rPr>
                <w:rFonts w:hint="eastAsia" w:ascii="宋体" w:hAnsi="宋体" w:eastAsia="宋体" w:cs="宋体"/>
                <w:color w:val="auto"/>
                <w:highlight w:val="none"/>
                <w:lang w:val="en-US" w:eastAsia="zh-CN"/>
              </w:rPr>
              <w:t>全密闭自动卸载车辆</w:t>
            </w:r>
            <w:r>
              <w:rPr>
                <w:rFonts w:hint="eastAsia" w:ascii="宋体" w:hAnsi="宋体" w:eastAsia="宋体" w:cs="宋体"/>
                <w:b w:val="0"/>
                <w:bCs/>
                <w:color w:val="auto"/>
                <w:kern w:val="2"/>
                <w:highlight w:val="none"/>
              </w:rPr>
              <w:t>与垃圾压缩车，得</w:t>
            </w:r>
            <w:r>
              <w:rPr>
                <w:rFonts w:hint="eastAsia" w:ascii="宋体" w:hAnsi="宋体" w:cs="宋体"/>
                <w:b w:val="0"/>
                <w:bCs/>
                <w:color w:val="auto"/>
                <w:kern w:val="2"/>
                <w:highlight w:val="none"/>
                <w:lang w:val="en-US" w:eastAsia="zh-CN"/>
              </w:rPr>
              <w:t>1</w:t>
            </w:r>
            <w:r>
              <w:rPr>
                <w:rFonts w:hint="eastAsia" w:ascii="宋体" w:hAnsi="宋体" w:eastAsia="宋体" w:cs="宋体"/>
                <w:b w:val="0"/>
                <w:bCs/>
                <w:color w:val="auto"/>
                <w:kern w:val="2"/>
                <w:highlight w:val="none"/>
              </w:rPr>
              <w:t>分；</w:t>
            </w:r>
          </w:p>
          <w:p w14:paraId="2C653DBA">
            <w:pPr>
              <w:keepNext w:val="0"/>
              <w:keepLines w:val="0"/>
              <w:widowControl/>
              <w:suppressLineNumbers w:val="0"/>
              <w:spacing w:before="0" w:beforeAutospacing="0" w:after="0" w:afterAutospacing="0" w:line="240" w:lineRule="auto"/>
              <w:ind w:left="0" w:right="0"/>
              <w:jc w:val="both"/>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5、其他情况不得分。</w:t>
            </w:r>
          </w:p>
        </w:tc>
        <w:tc>
          <w:tcPr>
            <w:tcW w:w="1018" w:type="dxa"/>
            <w:tcBorders>
              <w:bottom w:val="single" w:color="auto" w:sz="4" w:space="0"/>
            </w:tcBorders>
            <w:vAlign w:val="center"/>
          </w:tcPr>
          <w:p w14:paraId="3C3346B7">
            <w:pPr>
              <w:pStyle w:val="35"/>
              <w:keepNext w:val="0"/>
              <w:keepLines w:val="0"/>
              <w:widowControl w:val="0"/>
              <w:suppressLineNumbers w:val="0"/>
              <w:spacing w:before="0" w:beforeAutospacing="0" w:after="0" w:afterAutospacing="0" w:line="240" w:lineRule="auto"/>
              <w:ind w:left="0" w:right="0"/>
              <w:textAlignment w:val="auto"/>
              <w:rPr>
                <w:rFonts w:hint="default"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11分</w:t>
            </w:r>
          </w:p>
        </w:tc>
      </w:tr>
      <w:tr w14:paraId="3ED5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82" w:type="dxa"/>
            <w:gridSpan w:val="3"/>
            <w:vAlign w:val="center"/>
          </w:tcPr>
          <w:p w14:paraId="22A6DF4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1018" w:type="dxa"/>
            <w:vAlign w:val="center"/>
          </w:tcPr>
          <w:p w14:paraId="1AF7DE29">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56分</w:t>
            </w:r>
          </w:p>
        </w:tc>
      </w:tr>
      <w:bookmarkEnd w:id="1016"/>
      <w:bookmarkEnd w:id="1017"/>
      <w:bookmarkEnd w:id="1018"/>
    </w:tbl>
    <w:p w14:paraId="05604E8A">
      <w:pPr>
        <w:pStyle w:val="6"/>
        <w:spacing w:line="360" w:lineRule="auto"/>
        <w:ind w:firstLine="420" w:firstLineChars="200"/>
        <w:rPr>
          <w:rFonts w:ascii="宋体" w:hAnsi="宋体" w:cs="宋体"/>
          <w:color w:val="auto"/>
          <w:highlight w:val="none"/>
        </w:rPr>
      </w:pPr>
      <w:r>
        <w:rPr>
          <w:rFonts w:hint="eastAsia" w:ascii="宋体" w:hAnsi="宋体" w:cs="宋体"/>
          <w:color w:val="auto"/>
          <w:highlight w:val="none"/>
        </w:rPr>
        <w:br w:type="page"/>
      </w:r>
    </w:p>
    <w:p w14:paraId="6E6B7349">
      <w:pPr>
        <w:pStyle w:val="2"/>
        <w:pageBreakBefore/>
        <w:spacing w:before="0" w:after="0" w:line="360" w:lineRule="auto"/>
        <w:jc w:val="center"/>
        <w:rPr>
          <w:rFonts w:ascii="宋体" w:hAnsi="宋体" w:cs="宋体"/>
          <w:color w:val="auto"/>
          <w:highlight w:val="none"/>
        </w:rPr>
      </w:pPr>
      <w:bookmarkStart w:id="1218" w:name="_Toc482959146"/>
      <w:bookmarkStart w:id="1219" w:name="_Toc28857"/>
      <w:bookmarkStart w:id="1220" w:name="_Toc535418408"/>
      <w:bookmarkStart w:id="1221" w:name="_Toc528659987"/>
      <w:bookmarkStart w:id="1222" w:name="_Toc508619511"/>
      <w:bookmarkStart w:id="1223" w:name="_Toc20036"/>
      <w:bookmarkStart w:id="1224" w:name="_Toc12540"/>
      <w:bookmarkStart w:id="1225" w:name="_Toc511916210"/>
      <w:bookmarkStart w:id="1226" w:name="_Toc508036173"/>
      <w:bookmarkStart w:id="1227" w:name="_Toc17895"/>
      <w:bookmarkStart w:id="1228" w:name="_Toc500260948"/>
      <w:bookmarkStart w:id="1229" w:name="_Toc19781"/>
      <w:bookmarkStart w:id="1230" w:name="_Toc513631045"/>
      <w:bookmarkStart w:id="1231" w:name="_Toc1612"/>
      <w:bookmarkStart w:id="1232" w:name="_Toc535854431"/>
      <w:bookmarkStart w:id="1233" w:name="_Toc513112260"/>
      <w:bookmarkStart w:id="1234" w:name="_Toc484599490"/>
      <w:bookmarkStart w:id="1235" w:name="_Toc13602"/>
      <w:bookmarkStart w:id="1236" w:name="_Toc5133"/>
      <w:bookmarkStart w:id="1237" w:name="_Toc31692"/>
      <w:bookmarkStart w:id="1238" w:name="_Toc14138"/>
      <w:r>
        <w:rPr>
          <w:rFonts w:hint="eastAsia" w:ascii="宋体" w:hAnsi="宋体" w:cs="宋体"/>
          <w:color w:val="auto"/>
          <w:highlight w:val="none"/>
        </w:rPr>
        <w:t xml:space="preserve">第五章 </w:t>
      </w:r>
      <w:bookmarkEnd w:id="1218"/>
      <w:bookmarkStart w:id="1239" w:name="_Toc482959164"/>
      <w:r>
        <w:rPr>
          <w:rFonts w:hint="eastAsia" w:ascii="宋体" w:hAnsi="宋体" w:cs="宋体"/>
          <w:color w:val="auto"/>
          <w:highlight w:val="none"/>
        </w:rPr>
        <w:t xml:space="preserve"> 合同格式</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1797A53">
      <w:pPr>
        <w:widowControl w:val="0"/>
        <w:adjustRightInd w:val="0"/>
        <w:snapToGrid w:val="0"/>
        <w:spacing w:line="840" w:lineRule="exact"/>
        <w:jc w:val="center"/>
        <w:rPr>
          <w:rFonts w:ascii="仿宋" w:hAnsi="仿宋" w:eastAsia="仿宋" w:cs="仿宋"/>
          <w:color w:val="auto"/>
          <w:kern w:val="2"/>
          <w:sz w:val="24"/>
          <w:szCs w:val="24"/>
          <w:highlight w:val="none"/>
        </w:rPr>
      </w:pPr>
      <w:r>
        <w:rPr>
          <w:rFonts w:hint="eastAsia" w:ascii="仿宋" w:hAnsi="仿宋" w:eastAsia="仿宋" w:cs="仿宋"/>
          <w:b/>
          <w:color w:val="auto"/>
          <w:spacing w:val="200"/>
          <w:kern w:val="2"/>
          <w:sz w:val="56"/>
          <w:szCs w:val="56"/>
          <w:highlight w:val="none"/>
        </w:rPr>
        <w:t>合同书</w:t>
      </w:r>
    </w:p>
    <w:p w14:paraId="7B98A2FB">
      <w:pPr>
        <w:widowControl w:val="0"/>
        <w:spacing w:line="360" w:lineRule="auto"/>
        <w:jc w:val="both"/>
        <w:rPr>
          <w:rFonts w:ascii="仿宋" w:hAnsi="仿宋" w:eastAsia="仿宋" w:cs="仿宋"/>
          <w:color w:val="auto"/>
          <w:kern w:val="2"/>
          <w:sz w:val="24"/>
          <w:szCs w:val="24"/>
          <w:highlight w:val="none"/>
        </w:rPr>
      </w:pPr>
    </w:p>
    <w:p w14:paraId="54D4BBF9">
      <w:pPr>
        <w:widowControl w:val="0"/>
        <w:spacing w:line="360" w:lineRule="auto"/>
        <w:jc w:val="both"/>
        <w:rPr>
          <w:rFonts w:ascii="仿宋" w:hAnsi="仿宋" w:eastAsia="仿宋" w:cs="仿宋"/>
          <w:color w:val="auto"/>
          <w:kern w:val="2"/>
          <w:sz w:val="24"/>
          <w:szCs w:val="24"/>
          <w:highlight w:val="none"/>
        </w:rPr>
      </w:pPr>
    </w:p>
    <w:p w14:paraId="48ADF024">
      <w:pPr>
        <w:widowControl w:val="0"/>
        <w:jc w:val="both"/>
        <w:rPr>
          <w:rFonts w:ascii="仿宋" w:hAnsi="仿宋" w:eastAsia="仿宋" w:cs="仿宋"/>
          <w:color w:val="auto"/>
          <w:kern w:val="2"/>
          <w:sz w:val="24"/>
          <w:szCs w:val="24"/>
          <w:highlight w:val="none"/>
        </w:rPr>
      </w:pPr>
    </w:p>
    <w:p w14:paraId="06F8A7A3">
      <w:pPr>
        <w:widowControl w:val="0"/>
        <w:adjustRightInd w:val="0"/>
        <w:snapToGrid w:val="0"/>
        <w:spacing w:line="840" w:lineRule="exact"/>
        <w:jc w:val="center"/>
        <w:rPr>
          <w:rFonts w:ascii="仿宋" w:hAnsi="仿宋" w:eastAsia="仿宋" w:cs="仿宋"/>
          <w:b/>
          <w:color w:val="auto"/>
          <w:kern w:val="2"/>
          <w:sz w:val="24"/>
          <w:szCs w:val="24"/>
          <w:highlight w:val="none"/>
        </w:rPr>
      </w:pPr>
    </w:p>
    <w:p w14:paraId="59A09507">
      <w:pPr>
        <w:widowControl w:val="0"/>
        <w:adjustRightInd w:val="0"/>
        <w:snapToGrid w:val="0"/>
        <w:spacing w:line="840" w:lineRule="exact"/>
        <w:jc w:val="center"/>
        <w:rPr>
          <w:rFonts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（注：合同格式为合同的参考文本，除实质性内容外，合同签订双方可根据项目的具体要求进行修订）</w:t>
      </w:r>
    </w:p>
    <w:p w14:paraId="12C40D71">
      <w:pPr>
        <w:widowControl w:val="0"/>
        <w:spacing w:after="120"/>
        <w:ind w:left="420" w:leftChars="200" w:firstLine="480" w:firstLineChars="200"/>
        <w:jc w:val="both"/>
        <w:rPr>
          <w:rFonts w:asciiTheme="minorEastAsia" w:hAnsiTheme="minorEastAsia" w:eastAsiaTheme="minorEastAsia" w:cstheme="minorEastAsia"/>
          <w:color w:val="auto"/>
          <w:kern w:val="2"/>
          <w:sz w:val="24"/>
          <w:szCs w:val="24"/>
          <w:highlight w:val="none"/>
        </w:rPr>
      </w:pPr>
    </w:p>
    <w:p w14:paraId="3BC25483">
      <w:pPr>
        <w:widowControl w:val="0"/>
        <w:spacing w:after="120"/>
        <w:ind w:left="420" w:leftChars="200" w:firstLine="480" w:firstLineChars="200"/>
        <w:jc w:val="both"/>
        <w:rPr>
          <w:rFonts w:asciiTheme="minorEastAsia" w:hAnsiTheme="minorEastAsia" w:eastAsiaTheme="minorEastAsia" w:cstheme="minorEastAsia"/>
          <w:color w:val="auto"/>
          <w:kern w:val="2"/>
          <w:sz w:val="24"/>
          <w:szCs w:val="24"/>
          <w:highlight w:val="none"/>
        </w:rPr>
      </w:pPr>
    </w:p>
    <w:p w14:paraId="78AA4038">
      <w:pPr>
        <w:widowControl w:val="0"/>
        <w:adjustRightInd w:val="0"/>
        <w:snapToGrid w:val="0"/>
        <w:spacing w:line="500" w:lineRule="atLeast"/>
        <w:ind w:left="1678"/>
        <w:jc w:val="both"/>
        <w:rPr>
          <w:rFonts w:asciiTheme="minorEastAsia" w:hAnsiTheme="minorEastAsia" w:eastAsiaTheme="minorEastAsia" w:cstheme="minorEastAsia"/>
          <w:color w:val="auto"/>
          <w:kern w:val="2"/>
          <w:sz w:val="24"/>
          <w:szCs w:val="24"/>
          <w:highlight w:val="none"/>
        </w:rPr>
      </w:pPr>
    </w:p>
    <w:p w14:paraId="5BB0EE80">
      <w:pPr>
        <w:widowControl w:val="0"/>
        <w:adjustRightInd w:val="0"/>
        <w:snapToGrid w:val="0"/>
        <w:spacing w:line="500" w:lineRule="atLeast"/>
        <w:ind w:firstLine="1446" w:firstLineChars="600"/>
        <w:rPr>
          <w:rFonts w:asciiTheme="minorEastAsia" w:hAnsiTheme="minorEastAsia" w:eastAsiaTheme="minorEastAsia" w:cstheme="minorEastAsia"/>
          <w:b/>
          <w:color w:val="auto"/>
          <w:kern w:val="2"/>
          <w:sz w:val="24"/>
          <w:szCs w:val="24"/>
          <w:highlight w:val="none"/>
          <w:u w:val="single"/>
          <w:lang w:val="zh-CN"/>
        </w:rPr>
      </w:pPr>
      <w:r>
        <w:rPr>
          <w:rFonts w:hint="eastAsia" w:asciiTheme="minorEastAsia" w:hAnsiTheme="minorEastAsia" w:eastAsiaTheme="minorEastAsia" w:cstheme="minorEastAsia"/>
          <w:b/>
          <w:color w:val="auto"/>
          <w:kern w:val="2"/>
          <w:sz w:val="24"/>
          <w:szCs w:val="24"/>
          <w:highlight w:val="none"/>
        </w:rPr>
        <w:t>合同名称：</w:t>
      </w:r>
      <w:r>
        <w:rPr>
          <w:rFonts w:hint="eastAsia" w:asciiTheme="minorEastAsia" w:hAnsiTheme="minorEastAsia" w:eastAsiaTheme="minorEastAsia" w:cstheme="minorEastAsia"/>
          <w:b/>
          <w:color w:val="auto"/>
          <w:kern w:val="2"/>
          <w:sz w:val="24"/>
          <w:szCs w:val="24"/>
          <w:highlight w:val="none"/>
          <w:u w:val="single"/>
          <w:lang w:val="zh-CN"/>
        </w:rPr>
        <w:t>广州医科大学附属妇女儿童医疗中心</w:t>
      </w:r>
    </w:p>
    <w:p w14:paraId="50FC1912">
      <w:pPr>
        <w:widowControl w:val="0"/>
        <w:adjustRightInd w:val="0"/>
        <w:snapToGrid w:val="0"/>
        <w:spacing w:line="500" w:lineRule="atLeast"/>
        <w:ind w:firstLine="2650" w:firstLineChars="1100"/>
        <w:rPr>
          <w:rFonts w:hint="eastAsia" w:asciiTheme="minorEastAsia" w:hAnsiTheme="minorEastAsia" w:eastAsiaTheme="minorEastAsia" w:cstheme="minorEastAsia"/>
          <w:b/>
          <w:color w:val="auto"/>
          <w:kern w:val="2"/>
          <w:sz w:val="24"/>
          <w:szCs w:val="24"/>
          <w:highlight w:val="none"/>
          <w:u w:val="single"/>
        </w:rPr>
      </w:pPr>
      <w:r>
        <w:rPr>
          <w:rFonts w:hint="eastAsia" w:asciiTheme="minorEastAsia" w:hAnsiTheme="minorEastAsia" w:eastAsiaTheme="minorEastAsia" w:cstheme="minorEastAsia"/>
          <w:b/>
          <w:color w:val="auto"/>
          <w:kern w:val="2"/>
          <w:sz w:val="24"/>
          <w:szCs w:val="24"/>
          <w:highlight w:val="none"/>
          <w:u w:val="single"/>
          <w:lang w:eastAsia="zh-CN"/>
        </w:rPr>
        <w:t>增城院区生活垃圾清运服务（</w:t>
      </w:r>
      <w:r>
        <w:rPr>
          <w:rFonts w:hint="eastAsia" w:asciiTheme="minorEastAsia" w:hAnsiTheme="minorEastAsia" w:eastAsiaTheme="minorEastAsia" w:cstheme="minorEastAsia"/>
          <w:b/>
          <w:color w:val="auto"/>
          <w:kern w:val="2"/>
          <w:sz w:val="24"/>
          <w:szCs w:val="24"/>
          <w:highlight w:val="none"/>
          <w:u w:val="single"/>
          <w:lang w:val="en-US" w:eastAsia="zh-CN"/>
        </w:rPr>
        <w:t>二次</w:t>
      </w:r>
      <w:r>
        <w:rPr>
          <w:rFonts w:hint="eastAsia" w:asciiTheme="minorEastAsia" w:hAnsiTheme="minorEastAsia" w:eastAsiaTheme="minorEastAsia" w:cstheme="minorEastAsia"/>
          <w:b/>
          <w:color w:val="auto"/>
          <w:kern w:val="2"/>
          <w:sz w:val="24"/>
          <w:szCs w:val="24"/>
          <w:highlight w:val="none"/>
          <w:u w:val="single"/>
          <w:lang w:eastAsia="zh-CN"/>
        </w:rPr>
        <w:t>）</w:t>
      </w:r>
    </w:p>
    <w:p w14:paraId="292B48AB">
      <w:pPr>
        <w:widowControl w:val="0"/>
        <w:adjustRightInd w:val="0"/>
        <w:snapToGrid w:val="0"/>
        <w:spacing w:line="500" w:lineRule="atLeast"/>
        <w:ind w:firstLine="1446" w:firstLineChars="600"/>
        <w:rPr>
          <w:rFonts w:asciiTheme="minorEastAsia" w:hAnsiTheme="minorEastAsia" w:eastAsiaTheme="minorEastAsia" w:cstheme="minorEastAsia"/>
          <w:b/>
          <w:color w:val="auto"/>
          <w:kern w:val="2"/>
          <w:sz w:val="24"/>
          <w:szCs w:val="24"/>
          <w:highlight w:val="none"/>
        </w:rPr>
      </w:pPr>
      <w:r>
        <w:rPr>
          <w:rFonts w:hint="eastAsia" w:asciiTheme="minorEastAsia" w:hAnsiTheme="minorEastAsia" w:eastAsiaTheme="minorEastAsia" w:cstheme="minorEastAsia"/>
          <w:b/>
          <w:color w:val="auto"/>
          <w:kern w:val="2"/>
          <w:sz w:val="24"/>
          <w:szCs w:val="24"/>
          <w:highlight w:val="none"/>
        </w:rPr>
        <w:t>合同编号：</w:t>
      </w:r>
      <w:r>
        <w:rPr>
          <w:rFonts w:hint="eastAsia" w:asciiTheme="minorEastAsia" w:hAnsiTheme="minorEastAsia" w:eastAsiaTheme="minorEastAsia" w:cstheme="minorEastAsia"/>
          <w:b/>
          <w:color w:val="auto"/>
          <w:kern w:val="2"/>
          <w:sz w:val="24"/>
          <w:szCs w:val="24"/>
          <w:highlight w:val="none"/>
          <w:u w:val="single"/>
        </w:rPr>
        <w:t xml:space="preserve"> GWCMC-PC-G-20XXXXX </w:t>
      </w:r>
    </w:p>
    <w:p w14:paraId="2414FBBF">
      <w:pPr>
        <w:widowControl w:val="0"/>
        <w:adjustRightInd w:val="0"/>
        <w:snapToGrid w:val="0"/>
        <w:spacing w:line="500" w:lineRule="atLeast"/>
        <w:ind w:firstLine="1446" w:firstLineChars="600"/>
        <w:rPr>
          <w:rFonts w:asciiTheme="minorEastAsia" w:hAnsiTheme="minorEastAsia" w:eastAsiaTheme="minorEastAsia" w:cstheme="minorEastAsia"/>
          <w:b/>
          <w:color w:val="auto"/>
          <w:kern w:val="2"/>
          <w:sz w:val="24"/>
          <w:szCs w:val="24"/>
          <w:highlight w:val="none"/>
          <w:u w:val="single"/>
        </w:rPr>
      </w:pPr>
      <w:r>
        <w:rPr>
          <w:rFonts w:hint="eastAsia" w:asciiTheme="minorEastAsia" w:hAnsiTheme="minorEastAsia" w:eastAsiaTheme="minorEastAsia" w:cstheme="minorEastAsia"/>
          <w:b/>
          <w:color w:val="auto"/>
          <w:kern w:val="2"/>
          <w:sz w:val="24"/>
          <w:szCs w:val="24"/>
          <w:highlight w:val="none"/>
        </w:rPr>
        <w:t>签约地点：</w:t>
      </w:r>
      <w:r>
        <w:rPr>
          <w:rFonts w:hint="eastAsia" w:asciiTheme="minorEastAsia" w:hAnsiTheme="minorEastAsia" w:eastAsiaTheme="minorEastAsia" w:cstheme="minorEastAsia"/>
          <w:b/>
          <w:color w:val="auto"/>
          <w:kern w:val="2"/>
          <w:sz w:val="24"/>
          <w:szCs w:val="24"/>
          <w:highlight w:val="none"/>
          <w:u w:val="single"/>
        </w:rPr>
        <w:t xml:space="preserve"> 广州医科大学附属妇女儿童医疗中心   </w:t>
      </w:r>
    </w:p>
    <w:p w14:paraId="75C9AA4C">
      <w:pPr>
        <w:widowControl w:val="0"/>
        <w:adjustRightInd w:val="0"/>
        <w:snapToGrid w:val="0"/>
        <w:spacing w:line="500" w:lineRule="atLeast"/>
        <w:ind w:firstLine="1446" w:firstLineChars="600"/>
        <w:rPr>
          <w:rFonts w:asciiTheme="minorEastAsia" w:hAnsiTheme="minorEastAsia" w:eastAsiaTheme="minorEastAsia" w:cstheme="minorEastAsia"/>
          <w:b/>
          <w:color w:val="auto"/>
          <w:kern w:val="2"/>
          <w:sz w:val="24"/>
          <w:szCs w:val="24"/>
          <w:highlight w:val="none"/>
          <w:u w:val="single"/>
        </w:rPr>
      </w:pPr>
      <w:r>
        <w:rPr>
          <w:rFonts w:hint="eastAsia" w:asciiTheme="minorEastAsia" w:hAnsiTheme="minorEastAsia" w:eastAsiaTheme="minorEastAsia" w:cstheme="minorEastAsia"/>
          <w:b/>
          <w:color w:val="auto"/>
          <w:kern w:val="2"/>
          <w:sz w:val="24"/>
          <w:szCs w:val="24"/>
          <w:highlight w:val="none"/>
        </w:rPr>
        <w:t>甲    方：</w:t>
      </w:r>
      <w:r>
        <w:rPr>
          <w:rFonts w:hint="eastAsia" w:asciiTheme="minorEastAsia" w:hAnsiTheme="minorEastAsia" w:eastAsiaTheme="minorEastAsia" w:cstheme="minorEastAsia"/>
          <w:b/>
          <w:color w:val="auto"/>
          <w:kern w:val="2"/>
          <w:sz w:val="24"/>
          <w:szCs w:val="24"/>
          <w:highlight w:val="none"/>
          <w:u w:val="single"/>
        </w:rPr>
        <w:t xml:space="preserve"> 广州医科大学附属妇女儿童医疗中心   </w:t>
      </w:r>
    </w:p>
    <w:p w14:paraId="01B7E5A4">
      <w:pPr>
        <w:widowControl w:val="0"/>
        <w:adjustRightInd w:val="0"/>
        <w:snapToGrid w:val="0"/>
        <w:spacing w:line="500" w:lineRule="atLeast"/>
        <w:ind w:firstLine="1446" w:firstLineChars="600"/>
        <w:rPr>
          <w:rFonts w:asciiTheme="minorEastAsia" w:hAnsiTheme="minorEastAsia" w:eastAsiaTheme="minorEastAsia" w:cstheme="minorEastAsia"/>
          <w:b/>
          <w:color w:val="auto"/>
          <w:kern w:val="2"/>
          <w:sz w:val="24"/>
          <w:szCs w:val="24"/>
          <w:highlight w:val="none"/>
          <w:u w:val="single"/>
        </w:rPr>
      </w:pPr>
      <w:r>
        <w:rPr>
          <w:rFonts w:hint="eastAsia" w:asciiTheme="minorEastAsia" w:hAnsiTheme="minorEastAsia" w:eastAsiaTheme="minorEastAsia" w:cstheme="minorEastAsia"/>
          <w:b/>
          <w:color w:val="auto"/>
          <w:kern w:val="2"/>
          <w:sz w:val="24"/>
          <w:szCs w:val="24"/>
          <w:highlight w:val="none"/>
        </w:rPr>
        <w:t>乙     方：</w:t>
      </w:r>
      <w:r>
        <w:rPr>
          <w:rFonts w:hint="eastAsia" w:asciiTheme="minorEastAsia" w:hAnsiTheme="minorEastAsia" w:eastAsiaTheme="minorEastAsia" w:cstheme="minorEastAsia"/>
          <w:b/>
          <w:color w:val="auto"/>
          <w:kern w:val="2"/>
          <w:sz w:val="24"/>
          <w:szCs w:val="24"/>
          <w:highlight w:val="none"/>
          <w:u w:val="single"/>
        </w:rPr>
        <w:t>XXX</w:t>
      </w:r>
    </w:p>
    <w:p w14:paraId="5865AE09">
      <w:pPr>
        <w:rPr>
          <w:color w:val="auto"/>
          <w:highlight w:val="none"/>
        </w:rPr>
      </w:pPr>
    </w:p>
    <w:p w14:paraId="56876937">
      <w:pPr>
        <w:rPr>
          <w:color w:val="auto"/>
          <w:highlight w:val="none"/>
        </w:rPr>
      </w:pPr>
    </w:p>
    <w:p w14:paraId="115F10C2">
      <w:pPr>
        <w:rPr>
          <w:color w:val="auto"/>
          <w:highlight w:val="none"/>
        </w:rPr>
      </w:pPr>
    </w:p>
    <w:p w14:paraId="055CDE5A">
      <w:pPr>
        <w:rPr>
          <w:color w:val="auto"/>
          <w:highlight w:val="none"/>
        </w:rPr>
      </w:pPr>
    </w:p>
    <w:p w14:paraId="5B759E7B">
      <w:pPr>
        <w:rPr>
          <w:color w:val="auto"/>
          <w:highlight w:val="none"/>
        </w:rPr>
      </w:pPr>
    </w:p>
    <w:p w14:paraId="2D8762F8">
      <w:pPr>
        <w:rPr>
          <w:color w:val="auto"/>
          <w:highlight w:val="none"/>
        </w:rPr>
      </w:pPr>
    </w:p>
    <w:p w14:paraId="468A6842">
      <w:pPr>
        <w:rPr>
          <w:color w:val="auto"/>
          <w:highlight w:val="none"/>
        </w:rPr>
      </w:pPr>
    </w:p>
    <w:p w14:paraId="3CAAD6A9">
      <w:pPr>
        <w:rPr>
          <w:color w:val="auto"/>
          <w:highlight w:val="none"/>
        </w:rPr>
      </w:pPr>
    </w:p>
    <w:p w14:paraId="14988C8D">
      <w:pPr>
        <w:rPr>
          <w:color w:val="auto"/>
          <w:highlight w:val="none"/>
        </w:rPr>
      </w:pPr>
    </w:p>
    <w:p w14:paraId="13C7FE10">
      <w:pPr>
        <w:rPr>
          <w:color w:val="auto"/>
          <w:highlight w:val="none"/>
        </w:rPr>
      </w:pPr>
    </w:p>
    <w:p w14:paraId="63C41E2B">
      <w:pPr>
        <w:rPr>
          <w:color w:val="auto"/>
          <w:highlight w:val="none"/>
        </w:rPr>
      </w:pPr>
    </w:p>
    <w:p w14:paraId="41817843">
      <w:pPr>
        <w:rPr>
          <w:color w:val="auto"/>
          <w:highlight w:val="none"/>
        </w:rPr>
      </w:pPr>
    </w:p>
    <w:p w14:paraId="52FC9C27">
      <w:pPr>
        <w:rPr>
          <w:color w:val="auto"/>
          <w:highlight w:val="none"/>
        </w:rPr>
      </w:pPr>
    </w:p>
    <w:p w14:paraId="0ABFE8DD">
      <w:pPr>
        <w:widowControl w:val="0"/>
        <w:tabs>
          <w:tab w:val="left" w:pos="720"/>
        </w:tabs>
        <w:spacing w:line="360" w:lineRule="auto"/>
        <w:jc w:val="both"/>
        <w:rPr>
          <w:rFonts w:asciiTheme="minorEastAsia" w:hAnsiTheme="minorEastAsia" w:eastAsiaTheme="minorEastAsia" w:cstheme="minorEastAsia"/>
          <w:bCs/>
          <w:color w:val="auto"/>
          <w:kern w:val="2"/>
          <w:sz w:val="24"/>
          <w:szCs w:val="24"/>
          <w:highlight w:val="none"/>
        </w:rPr>
      </w:pPr>
      <w:r>
        <w:rPr>
          <w:rFonts w:hint="eastAsia" w:asciiTheme="minorEastAsia" w:hAnsiTheme="minorEastAsia" w:eastAsiaTheme="minorEastAsia" w:cstheme="minorEastAsia"/>
          <w:bCs/>
          <w:color w:val="auto"/>
          <w:kern w:val="2"/>
          <w:sz w:val="24"/>
          <w:szCs w:val="24"/>
          <w:highlight w:val="none"/>
        </w:rPr>
        <w:t>甲    方：广州医科大学附属妇女儿童医疗中心</w:t>
      </w:r>
    </w:p>
    <w:p w14:paraId="1A5826CF">
      <w:pPr>
        <w:widowControl w:val="0"/>
        <w:spacing w:line="360" w:lineRule="auto"/>
        <w:jc w:val="both"/>
        <w:rPr>
          <w:rFonts w:asciiTheme="minorEastAsia" w:hAnsiTheme="minorEastAsia" w:eastAsiaTheme="minorEastAsia" w:cstheme="minorEastAsia"/>
          <w:bCs/>
          <w:color w:val="auto"/>
          <w:kern w:val="2"/>
          <w:sz w:val="24"/>
          <w:szCs w:val="24"/>
          <w:highlight w:val="none"/>
        </w:rPr>
      </w:pPr>
      <w:r>
        <w:rPr>
          <w:rFonts w:hint="eastAsia" w:asciiTheme="minorEastAsia" w:hAnsiTheme="minorEastAsia" w:eastAsiaTheme="minorEastAsia" w:cstheme="minorEastAsia"/>
          <w:bCs/>
          <w:color w:val="auto"/>
          <w:kern w:val="2"/>
          <w:sz w:val="24"/>
          <w:szCs w:val="24"/>
          <w:highlight w:val="none"/>
        </w:rPr>
        <w:t>乙    方：</w:t>
      </w:r>
    </w:p>
    <w:p w14:paraId="5B70D837">
      <w:pPr>
        <w:widowControl w:val="0"/>
        <w:spacing w:line="360" w:lineRule="auto"/>
        <w:jc w:val="both"/>
        <w:rPr>
          <w:rFonts w:asciiTheme="minorEastAsia" w:hAnsiTheme="minorEastAsia" w:eastAsiaTheme="minorEastAsia" w:cstheme="minorEastAsia"/>
          <w:bCs/>
          <w:color w:val="auto"/>
          <w:kern w:val="2"/>
          <w:sz w:val="24"/>
          <w:szCs w:val="24"/>
          <w:highlight w:val="none"/>
        </w:rPr>
      </w:pPr>
    </w:p>
    <w:p w14:paraId="577390CD">
      <w:pPr>
        <w:widowControl w:val="0"/>
        <w:tabs>
          <w:tab w:val="left" w:pos="426"/>
          <w:tab w:val="left" w:pos="567"/>
        </w:tabs>
        <w:spacing w:line="360" w:lineRule="auto"/>
        <w:ind w:firstLine="420" w:firstLineChars="200"/>
        <w:jc w:val="both"/>
        <w:outlineLvl w:val="3"/>
        <w:rPr>
          <w:rFonts w:hint="eastAsia" w:asciiTheme="minorEastAsia" w:hAnsiTheme="minorEastAsia" w:eastAsiaTheme="minorEastAsia" w:cstheme="minorEastAsia"/>
          <w:bCs/>
          <w:color w:val="auto"/>
          <w:kern w:val="2"/>
          <w:highlight w:val="none"/>
        </w:rPr>
      </w:pPr>
      <w:r>
        <w:rPr>
          <w:rFonts w:hint="eastAsia" w:asciiTheme="minorEastAsia" w:hAnsiTheme="minorEastAsia" w:eastAsiaTheme="minorEastAsia" w:cstheme="minorEastAsia"/>
          <w:bCs/>
          <w:color w:val="auto"/>
          <w:kern w:val="2"/>
          <w:highlight w:val="none"/>
        </w:rPr>
        <w:t>根据</w:t>
      </w:r>
      <w:r>
        <w:rPr>
          <w:rFonts w:hint="eastAsia" w:asciiTheme="minorEastAsia" w:hAnsiTheme="minorEastAsia" w:eastAsiaTheme="minorEastAsia" w:cstheme="minorEastAsia"/>
          <w:bCs/>
          <w:color w:val="auto"/>
          <w:kern w:val="2"/>
          <w:highlight w:val="none"/>
          <w:lang w:eastAsia="zh-CN"/>
        </w:rPr>
        <w:t>广州医科大学附属妇女儿童医疗中心增城院区生活垃圾清运服务项目（二次）</w:t>
      </w:r>
      <w:r>
        <w:rPr>
          <w:rFonts w:hint="eastAsia" w:asciiTheme="minorEastAsia" w:hAnsiTheme="minorEastAsia" w:eastAsiaTheme="minorEastAsia" w:cstheme="minorEastAsia"/>
          <w:bCs/>
          <w:color w:val="auto"/>
          <w:kern w:val="2"/>
          <w:highlight w:val="none"/>
        </w:rPr>
        <w:t>（项目编号：GZZJ-FG-2026114）的采购结果，按照《中华人民共和国政府采购法》及其实施条例、《中华人民共和国民法典》的规定，经双方协商，本着平等互利和诚实信用的原则，一致同意签订本合同</w:t>
      </w:r>
      <w:r>
        <w:rPr>
          <w:rFonts w:hint="eastAsia" w:asciiTheme="minorEastAsia" w:hAnsiTheme="minorEastAsia" w:eastAsiaTheme="minorEastAsia" w:cstheme="minorEastAsia"/>
          <w:color w:val="auto"/>
          <w:kern w:val="2"/>
          <w:highlight w:val="none"/>
        </w:rPr>
        <w:t>，供双方共同遵守执行。</w:t>
      </w:r>
      <w:r>
        <w:rPr>
          <w:rFonts w:hint="eastAsia" w:asciiTheme="minorEastAsia" w:hAnsiTheme="minorEastAsia" w:eastAsiaTheme="minorEastAsia" w:cstheme="minorEastAsia"/>
          <w:bCs/>
          <w:color w:val="auto"/>
          <w:kern w:val="2"/>
          <w:highlight w:val="none"/>
        </w:rPr>
        <w:t>其他有关合同项目的特定信息由合同附件予以说明，合同附件及本项目的采购文件、参选（响应）文件、中选通知书、在实施过程中双方共同签署的补充文件等均为本合同不可分割之一部分。</w:t>
      </w:r>
    </w:p>
    <w:p w14:paraId="6DDBF06D">
      <w:pPr>
        <w:widowControl w:val="0"/>
        <w:tabs>
          <w:tab w:val="left" w:pos="426"/>
          <w:tab w:val="left" w:pos="567"/>
        </w:tabs>
        <w:spacing w:line="360" w:lineRule="auto"/>
        <w:jc w:val="both"/>
        <w:outlineLvl w:val="3"/>
        <w:rPr>
          <w:rFonts w:hint="eastAsia" w:asciiTheme="minorEastAsia" w:hAnsiTheme="minorEastAsia" w:eastAsiaTheme="minorEastAsia" w:cstheme="minorEastAsia"/>
          <w:bCs/>
          <w:color w:val="auto"/>
          <w:kern w:val="2"/>
          <w:highlight w:val="none"/>
          <w:lang w:eastAsia="zh-CN"/>
        </w:rPr>
      </w:pPr>
    </w:p>
    <w:p w14:paraId="53CFAD1D">
      <w:pPr>
        <w:widowControl w:val="0"/>
        <w:tabs>
          <w:tab w:val="left" w:pos="426"/>
          <w:tab w:val="left" w:pos="567"/>
        </w:tabs>
        <w:spacing w:line="360" w:lineRule="auto"/>
        <w:jc w:val="both"/>
        <w:outlineLvl w:val="3"/>
        <w:rPr>
          <w:rFonts w:hint="eastAsia" w:asciiTheme="minorEastAsia" w:hAnsiTheme="minorEastAsia" w:eastAsiaTheme="minorEastAsia" w:cstheme="minorEastAsia"/>
          <w:bCs/>
          <w:color w:val="auto"/>
          <w:kern w:val="2"/>
          <w:highlight w:val="none"/>
        </w:rPr>
      </w:pPr>
      <w:r>
        <w:rPr>
          <w:rFonts w:hint="eastAsia" w:asciiTheme="minorEastAsia" w:hAnsiTheme="minorEastAsia" w:eastAsiaTheme="minorEastAsia" w:cstheme="minorEastAsia"/>
          <w:bCs/>
          <w:color w:val="auto"/>
          <w:kern w:val="2"/>
          <w:highlight w:val="none"/>
          <w:lang w:eastAsia="zh-CN"/>
        </w:rPr>
        <w:t>第一部分</w:t>
      </w:r>
      <w:r>
        <w:rPr>
          <w:rFonts w:hint="eastAsia" w:asciiTheme="minorEastAsia" w:hAnsiTheme="minorEastAsia" w:eastAsiaTheme="minorEastAsia" w:cstheme="minorEastAsia"/>
          <w:bCs/>
          <w:color w:val="auto"/>
          <w:kern w:val="2"/>
          <w:highlight w:val="none"/>
          <w:lang w:val="en-US" w:eastAsia="zh-CN"/>
        </w:rPr>
        <w:t xml:space="preserve"> </w:t>
      </w:r>
      <w:r>
        <w:rPr>
          <w:rFonts w:hint="eastAsia" w:asciiTheme="minorEastAsia" w:hAnsiTheme="minorEastAsia" w:eastAsiaTheme="minorEastAsia" w:cstheme="minorEastAsia"/>
          <w:bCs/>
          <w:color w:val="auto"/>
          <w:kern w:val="2"/>
          <w:highlight w:val="none"/>
        </w:rPr>
        <w:t>项目概况</w:t>
      </w:r>
    </w:p>
    <w:p w14:paraId="312C1682">
      <w:pPr>
        <w:widowControl w:val="0"/>
        <w:tabs>
          <w:tab w:val="left" w:pos="426"/>
          <w:tab w:val="left" w:pos="567"/>
        </w:tabs>
        <w:spacing w:line="360" w:lineRule="auto"/>
        <w:ind w:firstLine="420" w:firstLineChars="200"/>
        <w:jc w:val="both"/>
        <w:outlineLvl w:val="3"/>
        <w:rPr>
          <w:rFonts w:hint="eastAsia" w:asciiTheme="minorEastAsia" w:hAnsiTheme="minorEastAsia" w:eastAsiaTheme="minorEastAsia" w:cstheme="minorEastAsia"/>
          <w:bCs/>
          <w:color w:val="auto"/>
          <w:kern w:val="2"/>
          <w:highlight w:val="none"/>
          <w:lang w:val="en-US" w:eastAsia="zh-CN"/>
        </w:rPr>
      </w:pPr>
      <w:r>
        <w:rPr>
          <w:rFonts w:hint="eastAsia" w:asciiTheme="minorEastAsia" w:hAnsiTheme="minorEastAsia" w:eastAsiaTheme="minorEastAsia" w:cstheme="minorEastAsia"/>
          <w:bCs/>
          <w:color w:val="auto"/>
          <w:kern w:val="2"/>
          <w:highlight w:val="none"/>
          <w:lang w:eastAsia="zh-CN"/>
        </w:rPr>
        <w:t>一、</w:t>
      </w:r>
      <w:r>
        <w:rPr>
          <w:rFonts w:hint="eastAsia" w:asciiTheme="minorEastAsia" w:hAnsiTheme="minorEastAsia" w:cstheme="minorEastAsia"/>
          <w:bCs/>
          <w:color w:val="auto"/>
          <w:kern w:val="2"/>
          <w:highlight w:val="none"/>
          <w:lang w:eastAsia="zh-CN"/>
        </w:rPr>
        <w:t>合同</w:t>
      </w:r>
      <w:r>
        <w:rPr>
          <w:rFonts w:hint="eastAsia" w:asciiTheme="minorEastAsia" w:hAnsiTheme="minorEastAsia" w:eastAsiaTheme="minorEastAsia" w:cstheme="minorEastAsia"/>
          <w:bCs/>
          <w:color w:val="auto"/>
          <w:kern w:val="2"/>
          <w:highlight w:val="none"/>
          <w:lang w:val="en-US" w:eastAsia="zh-CN"/>
        </w:rPr>
        <w:t>内容</w:t>
      </w:r>
    </w:p>
    <w:tbl>
      <w:tblPr>
        <w:tblStyle w:val="2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4"/>
        <w:gridCol w:w="1410"/>
        <w:gridCol w:w="3819"/>
      </w:tblGrid>
      <w:tr w14:paraId="774B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009" w:type="pct"/>
            <w:noWrap w:val="0"/>
            <w:vAlign w:val="center"/>
          </w:tcPr>
          <w:p w14:paraId="51DAB0C4">
            <w:pPr>
              <w:keepNext w:val="0"/>
              <w:keepLines w:val="0"/>
              <w:widowControl w:val="0"/>
              <w:suppressLineNumbers w:val="0"/>
              <w:tabs>
                <w:tab w:val="left" w:pos="426"/>
                <w:tab w:val="left" w:pos="567"/>
              </w:tabs>
              <w:spacing w:before="0" w:beforeAutospacing="0" w:after="0" w:afterAutospacing="0" w:line="360" w:lineRule="auto"/>
              <w:ind w:left="0" w:right="0"/>
              <w:jc w:val="center"/>
              <w:outlineLvl w:val="3"/>
              <w:rPr>
                <w:rFonts w:hint="eastAsia" w:asciiTheme="minorEastAsia" w:hAnsiTheme="minorEastAsia" w:eastAsiaTheme="minorEastAsia" w:cstheme="minorEastAsia"/>
                <w:bCs/>
                <w:color w:val="auto"/>
                <w:kern w:val="2"/>
                <w:highlight w:val="none"/>
                <w:lang w:val="en-US" w:eastAsia="zh-CN"/>
              </w:rPr>
            </w:pPr>
            <w:r>
              <w:rPr>
                <w:rFonts w:hint="eastAsia" w:asciiTheme="minorEastAsia" w:hAnsiTheme="minorEastAsia" w:cstheme="minorEastAsia"/>
                <w:bCs/>
                <w:color w:val="auto"/>
                <w:kern w:val="2"/>
                <w:highlight w:val="none"/>
                <w:lang w:val="en-US" w:eastAsia="zh-CN"/>
              </w:rPr>
              <w:t>合同</w:t>
            </w:r>
            <w:r>
              <w:rPr>
                <w:rFonts w:hint="eastAsia" w:asciiTheme="minorEastAsia" w:hAnsiTheme="minorEastAsia" w:eastAsiaTheme="minorEastAsia" w:cstheme="minorEastAsia"/>
                <w:bCs/>
                <w:color w:val="auto"/>
                <w:kern w:val="2"/>
                <w:highlight w:val="none"/>
                <w:lang w:val="en-US" w:eastAsia="zh-CN"/>
              </w:rPr>
              <w:t>内容</w:t>
            </w:r>
          </w:p>
        </w:tc>
        <w:tc>
          <w:tcPr>
            <w:tcW w:w="806" w:type="pct"/>
            <w:noWrap w:val="0"/>
            <w:vAlign w:val="center"/>
          </w:tcPr>
          <w:p w14:paraId="61A1310D">
            <w:pPr>
              <w:keepNext w:val="0"/>
              <w:keepLines w:val="0"/>
              <w:widowControl w:val="0"/>
              <w:suppressLineNumbers w:val="0"/>
              <w:tabs>
                <w:tab w:val="left" w:pos="426"/>
                <w:tab w:val="left" w:pos="567"/>
              </w:tabs>
              <w:spacing w:before="0" w:beforeAutospacing="0" w:after="0" w:afterAutospacing="0" w:line="360" w:lineRule="auto"/>
              <w:ind w:left="0" w:right="0"/>
              <w:jc w:val="center"/>
              <w:outlineLvl w:val="3"/>
              <w:rPr>
                <w:rFonts w:hint="eastAsia" w:asciiTheme="minorEastAsia" w:hAnsiTheme="minorEastAsia" w:eastAsiaTheme="minorEastAsia" w:cstheme="minorEastAsia"/>
                <w:bCs/>
                <w:color w:val="auto"/>
                <w:kern w:val="2"/>
                <w:highlight w:val="none"/>
                <w:lang w:val="en-US" w:eastAsia="zh-CN"/>
              </w:rPr>
            </w:pPr>
            <w:r>
              <w:rPr>
                <w:rFonts w:hint="eastAsia" w:asciiTheme="minorEastAsia" w:hAnsiTheme="minorEastAsia" w:eastAsiaTheme="minorEastAsia" w:cstheme="minorEastAsia"/>
                <w:bCs/>
                <w:color w:val="auto"/>
                <w:kern w:val="2"/>
                <w:highlight w:val="none"/>
                <w:lang w:val="en-US" w:eastAsia="zh-CN"/>
              </w:rPr>
              <w:t>数量、单位</w:t>
            </w:r>
          </w:p>
        </w:tc>
        <w:tc>
          <w:tcPr>
            <w:tcW w:w="2183" w:type="pct"/>
            <w:noWrap w:val="0"/>
            <w:vAlign w:val="center"/>
          </w:tcPr>
          <w:p w14:paraId="43B5CC41">
            <w:pPr>
              <w:keepNext w:val="0"/>
              <w:keepLines w:val="0"/>
              <w:widowControl w:val="0"/>
              <w:suppressLineNumbers w:val="0"/>
              <w:tabs>
                <w:tab w:val="left" w:pos="426"/>
                <w:tab w:val="left" w:pos="567"/>
              </w:tabs>
              <w:spacing w:before="0" w:beforeAutospacing="0" w:after="0" w:afterAutospacing="0" w:line="360" w:lineRule="auto"/>
              <w:ind w:left="0" w:right="0"/>
              <w:jc w:val="center"/>
              <w:outlineLvl w:val="3"/>
              <w:rPr>
                <w:rFonts w:hint="eastAsia" w:asciiTheme="minorEastAsia" w:hAnsiTheme="minorEastAsia" w:eastAsiaTheme="minorEastAsia" w:cstheme="minorEastAsia"/>
                <w:bCs/>
                <w:color w:val="auto"/>
                <w:kern w:val="2"/>
                <w:highlight w:val="none"/>
                <w:lang w:val="en-US" w:eastAsia="zh-CN"/>
              </w:rPr>
            </w:pPr>
            <w:r>
              <w:rPr>
                <w:rFonts w:hint="eastAsia" w:asciiTheme="minorEastAsia" w:hAnsiTheme="minorEastAsia" w:cstheme="minorEastAsia"/>
                <w:bCs/>
                <w:color w:val="auto"/>
                <w:kern w:val="2"/>
                <w:highlight w:val="none"/>
                <w:lang w:val="en-US" w:eastAsia="zh-CN"/>
              </w:rPr>
              <w:t>合同金额</w:t>
            </w:r>
          </w:p>
        </w:tc>
      </w:tr>
      <w:tr w14:paraId="7AAD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2009" w:type="pct"/>
            <w:noWrap w:val="0"/>
            <w:vAlign w:val="center"/>
          </w:tcPr>
          <w:p w14:paraId="561F3A23">
            <w:pPr>
              <w:keepNext w:val="0"/>
              <w:keepLines w:val="0"/>
              <w:widowControl w:val="0"/>
              <w:suppressLineNumbers w:val="0"/>
              <w:tabs>
                <w:tab w:val="left" w:pos="426"/>
                <w:tab w:val="left" w:pos="567"/>
              </w:tabs>
              <w:spacing w:before="0" w:beforeAutospacing="0" w:after="0" w:afterAutospacing="0" w:line="360" w:lineRule="auto"/>
              <w:ind w:left="0" w:right="0"/>
              <w:jc w:val="center"/>
              <w:outlineLvl w:val="3"/>
              <w:rPr>
                <w:rFonts w:hint="eastAsia" w:asciiTheme="minorEastAsia" w:hAnsiTheme="minorEastAsia" w:eastAsiaTheme="minorEastAsia" w:cstheme="minorEastAsia"/>
                <w:bCs/>
                <w:color w:val="auto"/>
                <w:kern w:val="2"/>
                <w:highlight w:val="none"/>
                <w:lang w:val="en-US" w:eastAsia="zh-CN"/>
              </w:rPr>
            </w:pPr>
            <w:r>
              <w:rPr>
                <w:rFonts w:hint="eastAsia" w:asciiTheme="minorEastAsia" w:hAnsiTheme="minorEastAsia" w:eastAsiaTheme="minorEastAsia" w:cstheme="minorEastAsia"/>
                <w:bCs/>
                <w:color w:val="auto"/>
                <w:kern w:val="2"/>
                <w:highlight w:val="none"/>
                <w:lang w:val="en-US" w:eastAsia="zh-CN"/>
              </w:rPr>
              <w:t>增城院区生活垃圾清运服务</w:t>
            </w:r>
          </w:p>
        </w:tc>
        <w:tc>
          <w:tcPr>
            <w:tcW w:w="806" w:type="pct"/>
            <w:noWrap w:val="0"/>
            <w:vAlign w:val="center"/>
          </w:tcPr>
          <w:p w14:paraId="2E684DC3">
            <w:pPr>
              <w:keepNext w:val="0"/>
              <w:keepLines w:val="0"/>
              <w:widowControl w:val="0"/>
              <w:suppressLineNumbers w:val="0"/>
              <w:tabs>
                <w:tab w:val="left" w:pos="426"/>
                <w:tab w:val="left" w:pos="567"/>
              </w:tabs>
              <w:spacing w:before="0" w:beforeAutospacing="0" w:after="0" w:afterAutospacing="0" w:line="360" w:lineRule="auto"/>
              <w:ind w:left="0" w:right="0"/>
              <w:jc w:val="center"/>
              <w:outlineLvl w:val="3"/>
              <w:rPr>
                <w:rFonts w:hint="eastAsia" w:asciiTheme="minorEastAsia" w:hAnsiTheme="minorEastAsia" w:eastAsiaTheme="minorEastAsia" w:cstheme="minorEastAsia"/>
                <w:bCs/>
                <w:color w:val="auto"/>
                <w:kern w:val="2"/>
                <w:highlight w:val="none"/>
                <w:lang w:val="en-US" w:eastAsia="zh-CN"/>
              </w:rPr>
            </w:pPr>
            <w:r>
              <w:rPr>
                <w:rFonts w:hint="eastAsia" w:asciiTheme="minorEastAsia" w:hAnsiTheme="minorEastAsia" w:eastAsiaTheme="minorEastAsia" w:cstheme="minorEastAsia"/>
                <w:bCs/>
                <w:color w:val="auto"/>
                <w:kern w:val="2"/>
                <w:highlight w:val="none"/>
                <w:lang w:val="en-US" w:eastAsia="zh-CN"/>
              </w:rPr>
              <w:t>1项</w:t>
            </w:r>
          </w:p>
        </w:tc>
        <w:tc>
          <w:tcPr>
            <w:tcW w:w="2183" w:type="pct"/>
            <w:noWrap w:val="0"/>
            <w:vAlign w:val="center"/>
          </w:tcPr>
          <w:p w14:paraId="26A45A6B">
            <w:pPr>
              <w:keepNext w:val="0"/>
              <w:keepLines w:val="0"/>
              <w:widowControl w:val="0"/>
              <w:suppressLineNumbers w:val="0"/>
              <w:tabs>
                <w:tab w:val="left" w:pos="426"/>
                <w:tab w:val="left" w:pos="567"/>
              </w:tabs>
              <w:spacing w:before="0" w:beforeAutospacing="0" w:after="0" w:afterAutospacing="0" w:line="360" w:lineRule="auto"/>
              <w:ind w:left="0" w:right="0"/>
              <w:jc w:val="center"/>
              <w:outlineLvl w:val="3"/>
              <w:rPr>
                <w:rFonts w:hint="default" w:asciiTheme="minorEastAsia" w:hAnsiTheme="minorEastAsia" w:eastAsiaTheme="minorEastAsia" w:cstheme="minorEastAsia"/>
                <w:bCs/>
                <w:color w:val="auto"/>
                <w:kern w:val="2"/>
                <w:highlight w:val="none"/>
                <w:lang w:val="en-US" w:eastAsia="zh-CN"/>
              </w:rPr>
            </w:pPr>
            <w:r>
              <w:rPr>
                <w:rFonts w:hint="eastAsia" w:asciiTheme="minorEastAsia" w:hAnsiTheme="minorEastAsia" w:cstheme="minorEastAsia"/>
                <w:bCs/>
                <w:color w:val="auto"/>
                <w:kern w:val="2"/>
                <w:highlight w:val="none"/>
                <w:lang w:val="en-US" w:eastAsia="zh-CN"/>
              </w:rPr>
              <w:t>￥       大写：</w:t>
            </w:r>
          </w:p>
        </w:tc>
      </w:tr>
    </w:tbl>
    <w:p w14:paraId="0A14E905">
      <w:pPr>
        <w:widowControl w:val="0"/>
        <w:tabs>
          <w:tab w:val="left" w:pos="426"/>
          <w:tab w:val="left" w:pos="567"/>
        </w:tabs>
        <w:spacing w:line="360" w:lineRule="auto"/>
        <w:ind w:firstLine="420" w:firstLineChars="200"/>
        <w:jc w:val="both"/>
        <w:outlineLvl w:val="3"/>
        <w:rPr>
          <w:rFonts w:hint="eastAsia" w:ascii="宋体" w:hAnsi="宋体" w:eastAsia="宋体" w:cs="宋体"/>
          <w:bCs/>
          <w:color w:val="auto"/>
          <w:kern w:val="2"/>
          <w:highlight w:val="none"/>
          <w:lang w:eastAsia="zh-CN"/>
        </w:rPr>
      </w:pPr>
      <w:r>
        <w:rPr>
          <w:rFonts w:hint="eastAsia" w:ascii="宋体" w:hAnsi="宋体" w:cs="宋体"/>
          <w:bCs/>
          <w:color w:val="auto"/>
          <w:kern w:val="2"/>
          <w:highlight w:val="none"/>
          <w:lang w:val="en-US" w:eastAsia="zh-CN"/>
        </w:rPr>
        <w:t>1</w:t>
      </w:r>
      <w:r>
        <w:rPr>
          <w:rFonts w:hint="eastAsia" w:ascii="宋体" w:hAnsi="宋体" w:eastAsia="宋体" w:cs="宋体"/>
          <w:bCs/>
          <w:color w:val="auto"/>
          <w:kern w:val="2"/>
          <w:highlight w:val="none"/>
        </w:rPr>
        <w:t>、服务地点：广州市增城区增城大道293号负一楼污区（生活垃圾房）</w:t>
      </w:r>
      <w:r>
        <w:rPr>
          <w:rFonts w:hint="eastAsia" w:ascii="宋体" w:hAnsi="宋体" w:eastAsia="宋体" w:cs="宋体"/>
          <w:bCs/>
          <w:color w:val="auto"/>
          <w:kern w:val="2"/>
          <w:highlight w:val="none"/>
          <w:lang w:eastAsia="zh-CN"/>
        </w:rPr>
        <w:t>。</w:t>
      </w:r>
    </w:p>
    <w:p w14:paraId="62783A65">
      <w:pPr>
        <w:widowControl w:val="0"/>
        <w:tabs>
          <w:tab w:val="left" w:pos="426"/>
          <w:tab w:val="left" w:pos="567"/>
        </w:tabs>
        <w:spacing w:line="360" w:lineRule="auto"/>
        <w:ind w:firstLine="420" w:firstLineChars="200"/>
        <w:jc w:val="both"/>
        <w:outlineLvl w:val="3"/>
        <w:rPr>
          <w:rFonts w:hint="eastAsia" w:ascii="宋体" w:hAnsi="宋体" w:eastAsia="宋体" w:cs="宋体"/>
          <w:bCs/>
          <w:color w:val="auto"/>
          <w:kern w:val="2"/>
          <w:highlight w:val="none"/>
          <w:lang w:val="en-US" w:eastAsia="zh-CN"/>
        </w:rPr>
      </w:pPr>
      <w:r>
        <w:rPr>
          <w:rFonts w:hint="eastAsia" w:ascii="宋体" w:hAnsi="宋体" w:cs="宋体"/>
          <w:bCs/>
          <w:color w:val="auto"/>
          <w:kern w:val="2"/>
          <w:highlight w:val="none"/>
          <w:lang w:val="en-US" w:eastAsia="zh-CN"/>
        </w:rPr>
        <w:t>2</w:t>
      </w:r>
      <w:r>
        <w:rPr>
          <w:rFonts w:hint="eastAsia" w:ascii="宋体" w:hAnsi="宋体" w:eastAsia="宋体" w:cs="宋体"/>
          <w:bCs/>
          <w:color w:val="auto"/>
          <w:kern w:val="2"/>
          <w:highlight w:val="none"/>
        </w:rPr>
        <w:t>、</w:t>
      </w:r>
      <w:r>
        <w:rPr>
          <w:rFonts w:hint="eastAsia" w:ascii="宋体" w:hAnsi="宋体" w:eastAsia="宋体" w:cs="宋体"/>
          <w:bCs/>
          <w:color w:val="auto"/>
          <w:kern w:val="2"/>
          <w:highlight w:val="none"/>
          <w:lang w:eastAsia="zh-CN"/>
        </w:rPr>
        <w:t>服务期限</w:t>
      </w:r>
      <w:r>
        <w:rPr>
          <w:rFonts w:hint="eastAsia" w:ascii="宋体" w:hAnsi="宋体" w:eastAsia="宋体" w:cs="宋体"/>
          <w:bCs/>
          <w:color w:val="auto"/>
          <w:kern w:val="2"/>
          <w:highlight w:val="none"/>
        </w:rPr>
        <w:t>：</w:t>
      </w:r>
      <w:r>
        <w:rPr>
          <w:rFonts w:hint="eastAsia" w:ascii="宋体" w:hAnsi="宋体" w:eastAsia="宋体" w:cs="宋体"/>
          <w:color w:val="auto"/>
          <w:sz w:val="21"/>
          <w:highlight w:val="none"/>
        </w:rPr>
        <w:t>合同自双方签字盖章之日起生效，合同履行期限3年</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 xml:space="preserve">   年   月  日至     年   月   日。</w:t>
      </w:r>
    </w:p>
    <w:p w14:paraId="207C25AB">
      <w:pPr>
        <w:widowControl w:val="0"/>
        <w:tabs>
          <w:tab w:val="left" w:pos="426"/>
          <w:tab w:val="left" w:pos="567"/>
        </w:tabs>
        <w:spacing w:line="360" w:lineRule="auto"/>
        <w:ind w:firstLine="420" w:firstLineChars="200"/>
        <w:jc w:val="both"/>
        <w:outlineLvl w:val="3"/>
        <w:rPr>
          <w:color w:val="auto"/>
          <w:highlight w:val="none"/>
        </w:rPr>
      </w:pPr>
    </w:p>
    <w:p w14:paraId="7AF7D18C">
      <w:pPr>
        <w:pStyle w:val="53"/>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二、其他</w:t>
      </w:r>
    </w:p>
    <w:p w14:paraId="0905F800">
      <w:pPr>
        <w:pStyle w:val="19"/>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cs="宋体"/>
          <w:b/>
          <w:bCs/>
          <w:color w:val="auto"/>
          <w:sz w:val="21"/>
          <w:szCs w:val="21"/>
          <w:highlight w:val="none"/>
          <w:lang w:val="en-US" w:eastAsia="zh-CN"/>
        </w:rPr>
        <w:t>合同价格</w:t>
      </w:r>
      <w:r>
        <w:rPr>
          <w:rFonts w:hint="eastAsia" w:ascii="宋体" w:hAnsi="宋体" w:eastAsia="宋体" w:cs="宋体"/>
          <w:color w:val="auto"/>
          <w:sz w:val="21"/>
          <w:szCs w:val="21"/>
          <w:highlight w:val="none"/>
          <w:lang w:val="en-US" w:eastAsia="zh-CN"/>
        </w:rPr>
        <w:t>（含税）：</w:t>
      </w:r>
      <w:r>
        <w:rPr>
          <w:rFonts w:hint="eastAsia" w:ascii="宋体" w:hAnsi="宋体" w:eastAsia="宋体" w:cs="宋体"/>
          <w:color w:val="auto"/>
          <w:sz w:val="21"/>
          <w:szCs w:val="21"/>
          <w:highlight w:val="none"/>
          <w:lang w:eastAsia="zh-CN"/>
        </w:rPr>
        <w:t>包括但不限于</w:t>
      </w:r>
      <w:r>
        <w:rPr>
          <w:rFonts w:hint="eastAsia" w:ascii="宋体" w:hAnsi="宋体" w:eastAsia="宋体" w:cs="宋体"/>
          <w:color w:val="auto"/>
          <w:sz w:val="21"/>
          <w:szCs w:val="21"/>
          <w:highlight w:val="none"/>
        </w:rPr>
        <w:t>人员</w:t>
      </w:r>
      <w:r>
        <w:rPr>
          <w:rFonts w:hint="eastAsia" w:ascii="宋体" w:hAnsi="宋体" w:eastAsia="宋体" w:cs="宋体"/>
          <w:color w:val="auto"/>
          <w:sz w:val="21"/>
          <w:szCs w:val="21"/>
          <w:highlight w:val="none"/>
          <w:lang w:eastAsia="zh-CN"/>
        </w:rPr>
        <w:t>费用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设备与工具、运输费用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成本、</w:t>
      </w:r>
      <w:r>
        <w:rPr>
          <w:rFonts w:hint="eastAsia" w:ascii="宋体" w:hAnsi="宋体" w:eastAsia="宋体" w:cs="宋体"/>
          <w:color w:val="auto"/>
          <w:sz w:val="21"/>
          <w:szCs w:val="21"/>
          <w:highlight w:val="none"/>
        </w:rPr>
        <w:t>相关废弃物处理处置（填埋费）、</w:t>
      </w:r>
      <w:r>
        <w:rPr>
          <w:rFonts w:hint="eastAsia" w:ascii="宋体" w:hAnsi="宋体" w:eastAsia="宋体" w:cs="宋体"/>
          <w:color w:val="auto"/>
          <w:sz w:val="21"/>
          <w:szCs w:val="21"/>
          <w:highlight w:val="none"/>
          <w:lang w:eastAsia="zh-CN"/>
        </w:rPr>
        <w:t>人员保险、</w:t>
      </w:r>
      <w:r>
        <w:rPr>
          <w:rFonts w:hint="eastAsia" w:ascii="宋体" w:hAnsi="宋体" w:eastAsia="宋体" w:cs="宋体"/>
          <w:color w:val="auto"/>
          <w:sz w:val="21"/>
          <w:szCs w:val="21"/>
          <w:highlight w:val="none"/>
          <w:lang w:val="en-US" w:eastAsia="zh-CN"/>
        </w:rPr>
        <w:t>税费、</w:t>
      </w:r>
      <w:r>
        <w:rPr>
          <w:rFonts w:hint="eastAsia" w:ascii="宋体" w:hAnsi="宋体" w:eastAsia="宋体" w:cs="宋体"/>
          <w:b w:val="0"/>
          <w:bCs/>
          <w:color w:val="auto"/>
          <w:kern w:val="0"/>
          <w:sz w:val="21"/>
          <w:szCs w:val="21"/>
          <w:highlight w:val="none"/>
          <w:lang w:val="en-US" w:eastAsia="zh-CN" w:bidi="ar-SA"/>
        </w:rPr>
        <w:t>合同实施过程中不可预见费用以及为完成本项目所引起的所有费用等。报价时，</w:t>
      </w:r>
      <w:r>
        <w:rPr>
          <w:rFonts w:hint="eastAsia" w:cs="宋体"/>
          <w:b w:val="0"/>
          <w:bCs/>
          <w:color w:val="auto"/>
          <w:kern w:val="0"/>
          <w:sz w:val="21"/>
          <w:szCs w:val="21"/>
          <w:highlight w:val="none"/>
          <w:lang w:val="en-US" w:eastAsia="zh-CN" w:bidi="ar-SA"/>
        </w:rPr>
        <w:t>乙方已</w:t>
      </w:r>
      <w:r>
        <w:rPr>
          <w:rFonts w:hint="eastAsia" w:ascii="宋体" w:hAnsi="宋体" w:eastAsia="宋体" w:cs="宋体"/>
          <w:b w:val="0"/>
          <w:bCs/>
          <w:color w:val="auto"/>
          <w:kern w:val="0"/>
          <w:sz w:val="21"/>
          <w:szCs w:val="21"/>
          <w:highlight w:val="none"/>
          <w:lang w:val="en-US" w:eastAsia="zh-CN" w:bidi="ar-SA"/>
        </w:rPr>
        <w:t>充分考虑合同执行过程中人工单价、材料的物价变化、实际工作量增减的变化、政策性变化引起的价格变动等风险，同时</w:t>
      </w:r>
      <w:r>
        <w:rPr>
          <w:rFonts w:hint="eastAsia" w:cs="宋体"/>
          <w:b w:val="0"/>
          <w:bCs/>
          <w:color w:val="auto"/>
          <w:kern w:val="0"/>
          <w:sz w:val="21"/>
          <w:szCs w:val="21"/>
          <w:highlight w:val="none"/>
          <w:lang w:val="en-US" w:eastAsia="zh-CN" w:bidi="ar-SA"/>
        </w:rPr>
        <w:t>已</w:t>
      </w:r>
      <w:r>
        <w:rPr>
          <w:rFonts w:hint="eastAsia" w:ascii="宋体" w:hAnsi="宋体" w:eastAsia="宋体" w:cs="宋体"/>
          <w:b w:val="0"/>
          <w:bCs/>
          <w:color w:val="auto"/>
          <w:kern w:val="0"/>
          <w:sz w:val="21"/>
          <w:szCs w:val="21"/>
          <w:highlight w:val="none"/>
          <w:lang w:val="en-US" w:eastAsia="zh-CN" w:bidi="ar-SA"/>
        </w:rPr>
        <w:t>认真考虑一切可能出现的影响项目完成的因素。合同执行期间合同总金额不变。</w:t>
      </w:r>
    </w:p>
    <w:p w14:paraId="4438AAB5">
      <w:pPr>
        <w:pStyle w:val="53"/>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不得将本项目合同转包、分包、挂靠。</w:t>
      </w:r>
    </w:p>
    <w:p w14:paraId="67D0263A">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具备政府相关部门颁发且在有效期内的《城市生活垃圾经营性清扫、收集、运输服务许可证》扫描件，且许可内容包含城市生活垃圾经营性运输服务。</w:t>
      </w:r>
    </w:p>
    <w:p w14:paraId="5426F23E">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p>
    <w:p w14:paraId="4215B501">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color w:val="auto"/>
          <w:highlight w:val="none"/>
        </w:rPr>
      </w:pP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乙方</w:t>
      </w:r>
      <w:r>
        <w:rPr>
          <w:rFonts w:hint="eastAsia" w:ascii="宋体" w:hAnsi="宋体" w:eastAsia="宋体" w:cs="宋体"/>
          <w:color w:val="auto"/>
          <w:highlight w:val="none"/>
          <w:lang w:val="en-US" w:eastAsia="zh-CN"/>
        </w:rPr>
        <w:t>须备政府相关部门颁发且在有效期内的《道路运输经营许可证》，且经营范围包含货运。</w:t>
      </w:r>
    </w:p>
    <w:p w14:paraId="211D2F9B">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中选后，在合同履约期间因客观原因无法继续履约的，必须在2个日历天内书面函告</w:t>
      </w:r>
      <w:r>
        <w:rPr>
          <w:rFonts w:hint="eastAsia"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并说明原因，</w:t>
      </w:r>
      <w:r>
        <w:rPr>
          <w:rFonts w:hint="eastAsia"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CN"/>
        </w:rPr>
        <w:t>有权终止合同，违约责任按照合同违约条款处理。</w:t>
      </w:r>
    </w:p>
    <w:p w14:paraId="3C03D4B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color w:val="auto"/>
          <w:highlight w:val="none"/>
          <w:lang w:val="en-US" w:eastAsia="zh-CN"/>
        </w:rPr>
      </w:pPr>
    </w:p>
    <w:p w14:paraId="578DA1A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color w:val="auto"/>
          <w:highlight w:val="none"/>
          <w:lang w:val="en-US" w:eastAsia="zh-CN"/>
        </w:rPr>
      </w:pPr>
      <w:r>
        <w:rPr>
          <w:rFonts w:hint="eastAsia"/>
          <w:b/>
          <w:bCs/>
          <w:color w:val="auto"/>
          <w:highlight w:val="none"/>
          <w:lang w:val="en-US" w:eastAsia="zh-CN"/>
        </w:rPr>
        <w:t xml:space="preserve">第二部分 </w:t>
      </w:r>
      <w:r>
        <w:rPr>
          <w:rFonts w:hint="eastAsia"/>
          <w:b/>
          <w:bCs/>
          <w:color w:val="auto"/>
          <w:highlight w:val="none"/>
          <w:lang w:eastAsia="zh-CN"/>
        </w:rPr>
        <w:t>项目服务内容及要求</w:t>
      </w:r>
    </w:p>
    <w:p w14:paraId="07DA5F50">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22" w:firstLineChars="200"/>
        <w:jc w:val="both"/>
        <w:textAlignment w:val="auto"/>
        <w:rPr>
          <w:rFonts w:hint="eastAsia" w:ascii="宋体" w:hAnsi="宋体" w:eastAsia="宋体" w:cs="宋体"/>
          <w:b/>
          <w:color w:val="auto"/>
          <w:sz w:val="21"/>
          <w:szCs w:val="21"/>
          <w:highlight w:val="none"/>
          <w:lang w:eastAsia="zh-CN"/>
        </w:rPr>
      </w:pPr>
      <w:r>
        <w:rPr>
          <w:rFonts w:hint="default" w:ascii="宋体" w:hAnsi="宋体" w:eastAsia="宋体" w:cs="宋体"/>
          <w:b/>
          <w:color w:val="auto"/>
          <w:sz w:val="21"/>
          <w:szCs w:val="21"/>
          <w:highlight w:val="none"/>
          <w:lang w:val="en-US" w:eastAsia="zh-CN"/>
        </w:rPr>
        <w:t>一</w:t>
      </w:r>
      <w:r>
        <w:rPr>
          <w:rFonts w:hint="default" w:ascii="宋体" w:hAnsi="宋体" w:eastAsia="宋体" w:cs="宋体"/>
          <w:b/>
          <w:color w:val="auto"/>
          <w:sz w:val="21"/>
          <w:szCs w:val="21"/>
          <w:highlight w:val="none"/>
          <w:lang w:val="en-US"/>
        </w:rPr>
        <w:t>、</w:t>
      </w:r>
      <w:r>
        <w:rPr>
          <w:rFonts w:hint="eastAsia" w:cs="宋体"/>
          <w:b/>
          <w:color w:val="auto"/>
          <w:sz w:val="21"/>
          <w:szCs w:val="21"/>
          <w:highlight w:val="none"/>
          <w:lang w:eastAsia="zh-CN"/>
        </w:rPr>
        <w:t>清运要求</w:t>
      </w:r>
    </w:p>
    <w:p w14:paraId="5EC45798">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eastAsia" w:ascii="宋体" w:hAnsi="宋体" w:eastAsia="宋体" w:cs="宋体"/>
          <w:b/>
          <w:color w:val="auto"/>
          <w:sz w:val="21"/>
          <w:szCs w:val="21"/>
          <w:highlight w:val="none"/>
          <w:lang w:eastAsia="zh-CN"/>
        </w:rPr>
        <w:t>清运</w:t>
      </w:r>
      <w:r>
        <w:rPr>
          <w:rFonts w:hint="eastAsia" w:ascii="宋体" w:hAnsi="宋体" w:eastAsia="宋体" w:cs="宋体"/>
          <w:b/>
          <w:color w:val="auto"/>
          <w:sz w:val="21"/>
          <w:szCs w:val="21"/>
          <w:highlight w:val="none"/>
        </w:rPr>
        <w:t>量</w:t>
      </w:r>
      <w:r>
        <w:rPr>
          <w:rFonts w:hint="eastAsia" w:ascii="宋体" w:hAnsi="宋体" w:eastAsia="宋体" w:cs="宋体"/>
          <w:b/>
          <w:color w:val="auto"/>
          <w:sz w:val="21"/>
          <w:szCs w:val="21"/>
          <w:highlight w:val="none"/>
          <w:lang w:eastAsia="zh-CN"/>
        </w:rPr>
        <w:t>：</w:t>
      </w:r>
      <w:r>
        <w:rPr>
          <w:rFonts w:hint="eastAsia"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服务地点每天产生约90桶（120L/桶）生活垃圾，仅为预估量，</w:t>
      </w:r>
      <w:r>
        <w:rPr>
          <w:rFonts w:hint="eastAsia"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按照实际产生的垃圾量完成清运，超过预估量的清运费用已包含在</w:t>
      </w:r>
      <w:r>
        <w:rPr>
          <w:rFonts w:hint="eastAsia" w:cs="宋体"/>
          <w:color w:val="auto"/>
          <w:kern w:val="0"/>
          <w:sz w:val="21"/>
          <w:szCs w:val="21"/>
          <w:highlight w:val="none"/>
          <w:lang w:val="en-US" w:eastAsia="zh-CN" w:bidi="ar-SA"/>
        </w:rPr>
        <w:t>合同总</w:t>
      </w:r>
      <w:r>
        <w:rPr>
          <w:rFonts w:hint="eastAsia" w:ascii="宋体" w:hAnsi="宋体" w:eastAsia="宋体" w:cs="宋体"/>
          <w:color w:val="auto"/>
          <w:kern w:val="0"/>
          <w:sz w:val="21"/>
          <w:szCs w:val="21"/>
          <w:highlight w:val="none"/>
          <w:lang w:val="en-US" w:eastAsia="zh-CN" w:bidi="ar-SA"/>
        </w:rPr>
        <w:t>价中。</w:t>
      </w:r>
    </w:p>
    <w:p w14:paraId="1C8C474D">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r>
        <w:rPr>
          <w:rFonts w:hint="eastAsia" w:ascii="宋体" w:hAnsi="宋体" w:eastAsia="宋体" w:cs="宋体"/>
          <w:bCs/>
          <w:color w:val="auto"/>
          <w:sz w:val="21"/>
          <w:szCs w:val="21"/>
          <w:highlight w:val="none"/>
          <w:lang w:eastAsia="zh-CN"/>
        </w:rPr>
        <w:t>作业时间：每天收运两次，</w:t>
      </w:r>
      <w:r>
        <w:rPr>
          <w:rFonts w:hint="eastAsia" w:ascii="宋体" w:hAnsi="宋体" w:eastAsia="宋体" w:cs="宋体"/>
          <w:bCs/>
          <w:color w:val="auto"/>
          <w:sz w:val="21"/>
          <w:szCs w:val="21"/>
          <w:highlight w:val="none"/>
        </w:rPr>
        <w:t>早上</w:t>
      </w:r>
      <w:r>
        <w:rPr>
          <w:rFonts w:hint="eastAsia" w:ascii="宋体" w:hAnsi="宋体" w:eastAsia="宋体" w:cs="宋体"/>
          <w:bCs/>
          <w:color w:val="auto"/>
          <w:sz w:val="21"/>
          <w:szCs w:val="21"/>
          <w:highlight w:val="none"/>
          <w:lang w:val="en-US" w:eastAsia="zh-CN"/>
        </w:rPr>
        <w:t>9:30</w:t>
      </w:r>
      <w:r>
        <w:rPr>
          <w:rFonts w:hint="eastAsia" w:ascii="宋体" w:hAnsi="宋体" w:eastAsia="宋体" w:cs="宋体"/>
          <w:bCs/>
          <w:color w:val="auto"/>
          <w:sz w:val="21"/>
          <w:szCs w:val="21"/>
          <w:highlight w:val="none"/>
        </w:rPr>
        <w:t>前</w:t>
      </w:r>
      <w:r>
        <w:rPr>
          <w:rFonts w:hint="eastAsia" w:ascii="宋体" w:hAnsi="宋体" w:eastAsia="宋体" w:cs="宋体"/>
          <w:bCs/>
          <w:color w:val="auto"/>
          <w:sz w:val="21"/>
          <w:szCs w:val="21"/>
          <w:highlight w:val="none"/>
          <w:lang w:eastAsia="zh-CN"/>
        </w:rPr>
        <w:t>、下午</w:t>
      </w:r>
      <w:r>
        <w:rPr>
          <w:rFonts w:hint="eastAsia" w:ascii="宋体" w:hAnsi="宋体" w:eastAsia="宋体" w:cs="宋体"/>
          <w:bCs/>
          <w:color w:val="auto"/>
          <w:sz w:val="21"/>
          <w:szCs w:val="21"/>
          <w:highlight w:val="none"/>
          <w:lang w:val="en-US" w:eastAsia="zh-CN"/>
        </w:rPr>
        <w:t>3:30前完成清运，</w:t>
      </w:r>
      <w:r>
        <w:rPr>
          <w:rFonts w:hint="eastAsia" w:ascii="宋体" w:hAnsi="宋体" w:eastAsia="宋体" w:cs="宋体"/>
          <w:b w:val="0"/>
          <w:bCs/>
          <w:color w:val="auto"/>
          <w:sz w:val="21"/>
          <w:szCs w:val="21"/>
          <w:highlight w:val="none"/>
        </w:rPr>
        <w:t>保证日产日清</w:t>
      </w:r>
      <w:r>
        <w:rPr>
          <w:rFonts w:hint="eastAsia" w:ascii="宋体" w:hAnsi="宋体" w:eastAsia="宋体" w:cs="宋体"/>
          <w:bCs/>
          <w:color w:val="auto"/>
          <w:sz w:val="21"/>
          <w:szCs w:val="21"/>
          <w:highlight w:val="none"/>
        </w:rPr>
        <w:t>，按时按点清运</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如出现极端天气</w:t>
      </w:r>
      <w:r>
        <w:rPr>
          <w:rFonts w:hint="eastAsia" w:ascii="宋体" w:hAnsi="宋体" w:eastAsia="宋体" w:cs="宋体"/>
          <w:bCs/>
          <w:color w:val="auto"/>
          <w:sz w:val="21"/>
          <w:szCs w:val="21"/>
          <w:highlight w:val="none"/>
          <w:lang w:eastAsia="zh-CN"/>
        </w:rPr>
        <w:t>等</w:t>
      </w:r>
      <w:r>
        <w:rPr>
          <w:rFonts w:hint="eastAsia" w:ascii="宋体" w:hAnsi="宋体" w:eastAsia="宋体" w:cs="宋体"/>
          <w:bCs/>
          <w:color w:val="auto"/>
          <w:sz w:val="21"/>
          <w:szCs w:val="21"/>
          <w:highlight w:val="none"/>
        </w:rPr>
        <w:t>特殊情况</w:t>
      </w:r>
      <w:r>
        <w:rPr>
          <w:rFonts w:hint="eastAsia" w:ascii="宋体" w:hAnsi="宋体" w:eastAsia="宋体" w:cs="宋体"/>
          <w:bCs/>
          <w:color w:val="auto"/>
          <w:sz w:val="21"/>
          <w:szCs w:val="21"/>
          <w:highlight w:val="none"/>
          <w:lang w:eastAsia="zh-CN"/>
        </w:rPr>
        <w:t>，</w:t>
      </w:r>
      <w:r>
        <w:rPr>
          <w:rFonts w:hint="eastAsia" w:cs="宋体"/>
          <w:bCs/>
          <w:color w:val="auto"/>
          <w:sz w:val="21"/>
          <w:szCs w:val="21"/>
          <w:highlight w:val="none"/>
          <w:lang w:eastAsia="zh-CN"/>
        </w:rPr>
        <w:t>乙方</w:t>
      </w:r>
      <w:r>
        <w:rPr>
          <w:rFonts w:hint="eastAsia" w:ascii="宋体" w:hAnsi="宋体" w:eastAsia="宋体" w:cs="宋体"/>
          <w:bCs/>
          <w:color w:val="auto"/>
          <w:sz w:val="21"/>
          <w:szCs w:val="21"/>
          <w:highlight w:val="none"/>
          <w:lang w:eastAsia="zh-CN"/>
        </w:rPr>
        <w:t>通过电话等方式与</w:t>
      </w:r>
      <w:r>
        <w:rPr>
          <w:rFonts w:hint="eastAsia" w:cs="宋体"/>
          <w:bCs/>
          <w:color w:val="auto"/>
          <w:sz w:val="21"/>
          <w:szCs w:val="21"/>
          <w:highlight w:val="none"/>
          <w:lang w:eastAsia="zh-CN"/>
        </w:rPr>
        <w:t>甲方</w:t>
      </w:r>
      <w:r>
        <w:rPr>
          <w:rFonts w:hint="eastAsia" w:ascii="宋体" w:hAnsi="宋体" w:eastAsia="宋体" w:cs="宋体"/>
          <w:bCs/>
          <w:color w:val="auto"/>
          <w:sz w:val="21"/>
          <w:szCs w:val="21"/>
          <w:highlight w:val="none"/>
          <w:lang w:eastAsia="zh-CN"/>
        </w:rPr>
        <w:t>沟通并同意后延迟作业，</w:t>
      </w:r>
      <w:r>
        <w:rPr>
          <w:rFonts w:hint="eastAsia" w:ascii="宋体" w:hAnsi="宋体" w:eastAsia="宋体" w:cs="宋体"/>
          <w:bCs/>
          <w:color w:val="auto"/>
          <w:sz w:val="21"/>
          <w:szCs w:val="21"/>
          <w:highlight w:val="none"/>
        </w:rPr>
        <w:t>清运时间间隔不得超过</w:t>
      </w:r>
      <w:r>
        <w:rPr>
          <w:rFonts w:hint="eastAsia" w:ascii="宋体" w:hAnsi="宋体" w:eastAsia="宋体" w:cs="宋体"/>
          <w:bCs/>
          <w:color w:val="auto"/>
          <w:sz w:val="21"/>
          <w:szCs w:val="21"/>
          <w:highlight w:val="none"/>
          <w:lang w:val="en-US" w:eastAsia="zh-CN"/>
        </w:rPr>
        <w:t>24</w:t>
      </w:r>
      <w:r>
        <w:rPr>
          <w:rFonts w:hint="eastAsia" w:ascii="宋体" w:hAnsi="宋体" w:eastAsia="宋体" w:cs="宋体"/>
          <w:bCs/>
          <w:color w:val="auto"/>
          <w:sz w:val="21"/>
          <w:szCs w:val="21"/>
          <w:highlight w:val="none"/>
        </w:rPr>
        <w:t>小时。</w:t>
      </w:r>
    </w:p>
    <w:p w14:paraId="021AA27F">
      <w:pPr>
        <w:pStyle w:val="19"/>
        <w:keepNext w:val="0"/>
        <w:keepLines w:val="0"/>
        <w:pageBreakBefore w:val="0"/>
        <w:widowControl/>
        <w:numPr>
          <w:ilvl w:val="-1"/>
          <w:numId w:val="0"/>
        </w:numPr>
        <w:kinsoku/>
        <w:wordWrap/>
        <w:overflowPunct/>
        <w:topLinePunct w:val="0"/>
        <w:autoSpaceDE/>
        <w:autoSpaceDN/>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3、作业记录表：每次清运作业，作业记录表提交</w:t>
      </w:r>
      <w:r>
        <w:rPr>
          <w:rFonts w:hint="eastAsia"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需求管理部门存档，记录内容至少包括作业日期、时间、垃圾数量（单位：桶）、作业人员签名、经</w:t>
      </w:r>
      <w:r>
        <w:rPr>
          <w:rFonts w:hint="eastAsia"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需求管理部门签名确认。每月结算前提交作业记录汇总表，并经</w:t>
      </w:r>
      <w:r>
        <w:rPr>
          <w:rFonts w:hint="eastAsia"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需求管理部门签名确认。</w:t>
      </w:r>
    </w:p>
    <w:p w14:paraId="0064AE4F">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22" w:firstLineChars="200"/>
        <w:jc w:val="both"/>
        <w:textAlignment w:val="auto"/>
        <w:rPr>
          <w:rFonts w:hint="eastAsia" w:ascii="宋体" w:hAnsi="宋体" w:eastAsia="宋体" w:cs="宋体"/>
          <w:b/>
          <w:color w:val="auto"/>
          <w:sz w:val="21"/>
          <w:szCs w:val="21"/>
          <w:highlight w:val="none"/>
          <w:lang w:eastAsia="zh-CN"/>
        </w:rPr>
      </w:pPr>
    </w:p>
    <w:p w14:paraId="1F55EDA3">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22" w:firstLineChars="200"/>
        <w:jc w:val="both"/>
        <w:textAlignment w:val="auto"/>
        <w:rPr>
          <w:rFonts w:hint="eastAsia" w:ascii="宋体" w:hAnsi="宋体" w:eastAsia="宋体" w:cs="宋体"/>
          <w:b/>
          <w:color w:val="auto"/>
          <w:sz w:val="21"/>
          <w:szCs w:val="21"/>
          <w:highlight w:val="none"/>
        </w:rPr>
      </w:pPr>
      <w:r>
        <w:rPr>
          <w:rFonts w:hint="default" w:ascii="宋体" w:hAnsi="宋体" w:eastAsia="宋体" w:cs="宋体"/>
          <w:b/>
          <w:color w:val="auto"/>
          <w:sz w:val="21"/>
          <w:szCs w:val="21"/>
          <w:highlight w:val="none"/>
          <w:lang w:val="en-US" w:eastAsia="zh-CN"/>
        </w:rPr>
        <w:t>二</w:t>
      </w:r>
      <w:r>
        <w:rPr>
          <w:rFonts w:hint="default" w:ascii="宋体" w:hAnsi="宋体" w:eastAsia="宋体" w:cs="宋体"/>
          <w:b/>
          <w:color w:val="auto"/>
          <w:sz w:val="21"/>
          <w:szCs w:val="21"/>
          <w:highlight w:val="none"/>
          <w:lang w:val="en-US"/>
        </w:rPr>
        <w:t>、</w:t>
      </w:r>
      <w:r>
        <w:rPr>
          <w:rFonts w:hint="eastAsia" w:ascii="宋体" w:hAnsi="宋体" w:eastAsia="宋体" w:cs="宋体"/>
          <w:b/>
          <w:color w:val="auto"/>
          <w:sz w:val="21"/>
          <w:szCs w:val="21"/>
          <w:highlight w:val="none"/>
          <w:lang w:eastAsia="zh-CN"/>
        </w:rPr>
        <w:t>服务要求</w:t>
      </w:r>
    </w:p>
    <w:p w14:paraId="02F9B7F4">
      <w:pPr>
        <w:keepNext w:val="0"/>
        <w:keepLines w:val="0"/>
        <w:pageBreakBefore w:val="0"/>
        <w:widowControl w:val="0"/>
        <w:tabs>
          <w:tab w:val="left" w:pos="-1995"/>
          <w:tab w:val="left" w:pos="0"/>
        </w:tabs>
        <w:kinsoku/>
        <w:wordWrap/>
        <w:overflowPunct/>
        <w:topLinePunct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（一）技术要求</w:t>
      </w:r>
    </w:p>
    <w:p w14:paraId="4789E313">
      <w:pPr>
        <w:keepNext w:val="0"/>
        <w:keepLines w:val="0"/>
        <w:pageBreakBefore w:val="0"/>
        <w:widowControl w:val="0"/>
        <w:tabs>
          <w:tab w:val="left" w:pos="-1995"/>
          <w:tab w:val="left" w:pos="0"/>
        </w:tabs>
        <w:kinsoku/>
        <w:wordWrap/>
        <w:overflowPunct/>
        <w:topLinePunct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1、</w:t>
      </w:r>
      <w:r>
        <w:rPr>
          <w:rFonts w:hint="eastAsia" w:ascii="宋体" w:hAnsi="宋体" w:eastAsia="宋体" w:cs="宋体"/>
          <w:b w:val="0"/>
          <w:bCs/>
          <w:color w:val="auto"/>
          <w:sz w:val="21"/>
          <w:szCs w:val="21"/>
          <w:highlight w:val="none"/>
        </w:rPr>
        <w:t>配套设备要求</w:t>
      </w:r>
      <w:r>
        <w:rPr>
          <w:rFonts w:hint="eastAsia" w:ascii="宋体" w:hAnsi="宋体" w:eastAsia="宋体" w:cs="宋体"/>
          <w:b w:val="0"/>
          <w:bCs/>
          <w:color w:val="auto"/>
          <w:sz w:val="21"/>
          <w:szCs w:val="21"/>
          <w:highlight w:val="none"/>
          <w:lang w:eastAsia="zh-CN"/>
        </w:rPr>
        <w:t>：具备</w:t>
      </w:r>
      <w:r>
        <w:rPr>
          <w:rFonts w:hint="eastAsia" w:ascii="宋体" w:hAnsi="宋体" w:eastAsia="宋体" w:cs="宋体"/>
          <w:color w:val="auto"/>
          <w:kern w:val="0"/>
          <w:sz w:val="21"/>
          <w:szCs w:val="21"/>
          <w:highlight w:val="none"/>
          <w:lang w:val="en-US" w:eastAsia="zh-CN" w:bidi="ar-SA"/>
        </w:rPr>
        <w:t>垃圾运输车</w:t>
      </w:r>
      <w:r>
        <w:rPr>
          <w:rFonts w:hint="eastAsia" w:ascii="宋体" w:hAnsi="宋体" w:cs="宋体"/>
          <w:color w:val="auto"/>
          <w:kern w:val="0"/>
          <w:sz w:val="21"/>
          <w:szCs w:val="21"/>
          <w:highlight w:val="none"/>
          <w:lang w:val="en-US" w:eastAsia="zh-CN" w:bidi="ar-SA"/>
        </w:rPr>
        <w:t>（</w:t>
      </w:r>
      <w:r>
        <w:rPr>
          <w:rFonts w:hint="eastAsia" w:ascii="宋体" w:hAnsi="宋体" w:cs="宋体"/>
          <w:color w:val="auto"/>
          <w:highlight w:val="none"/>
          <w:lang w:val="en-US" w:eastAsia="zh-CN"/>
        </w:rPr>
        <w:t>全密闭自动卸载车辆或</w:t>
      </w:r>
      <w:r>
        <w:rPr>
          <w:rFonts w:hint="eastAsia" w:ascii="宋体" w:hAnsi="宋体" w:eastAsia="宋体" w:cs="宋体"/>
          <w:color w:val="auto"/>
          <w:highlight w:val="none"/>
          <w:lang w:val="en-US" w:eastAsia="zh-CN"/>
        </w:rPr>
        <w:t>垃圾压缩车</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不少于</w:t>
      </w:r>
      <w:r>
        <w:rPr>
          <w:rFonts w:hint="eastAsia" w:ascii="宋体" w:hAnsi="宋体" w:cs="宋体"/>
          <w:color w:val="auto"/>
          <w:kern w:val="0"/>
          <w:sz w:val="21"/>
          <w:szCs w:val="21"/>
          <w:highlight w:val="none"/>
          <w:lang w:val="en-US" w:eastAsia="zh-CN" w:bidi="ar-SA"/>
        </w:rPr>
        <w:t>1</w:t>
      </w:r>
      <w:r>
        <w:rPr>
          <w:rFonts w:hint="eastAsia" w:ascii="宋体" w:hAnsi="宋体" w:eastAsia="宋体" w:cs="宋体"/>
          <w:color w:val="auto"/>
          <w:kern w:val="0"/>
          <w:sz w:val="21"/>
          <w:szCs w:val="21"/>
          <w:highlight w:val="none"/>
          <w:lang w:val="en-US" w:eastAsia="zh-CN" w:bidi="ar-SA"/>
        </w:rPr>
        <w:t>辆</w:t>
      </w:r>
      <w:r>
        <w:rPr>
          <w:rFonts w:hint="eastAsia" w:ascii="宋体" w:hAnsi="宋体" w:cs="宋体"/>
          <w:color w:val="auto"/>
          <w:kern w:val="0"/>
          <w:sz w:val="21"/>
          <w:szCs w:val="21"/>
          <w:highlight w:val="none"/>
          <w:lang w:val="en-US" w:eastAsia="zh-CN" w:bidi="ar-SA"/>
        </w:rPr>
        <w:t>，</w:t>
      </w:r>
      <w:r>
        <w:rPr>
          <w:rFonts w:hint="eastAsia" w:ascii="宋体" w:hAnsi="宋体" w:cs="宋体"/>
          <w:color w:val="auto"/>
          <w:highlight w:val="none"/>
          <w:lang w:val="en-US" w:eastAsia="zh-CN"/>
        </w:rPr>
        <w:t>垃圾装车附属设备（叉车）自备</w:t>
      </w:r>
      <w:r>
        <w:rPr>
          <w:rFonts w:hint="eastAsia" w:ascii="宋体" w:hAnsi="宋体" w:eastAsia="宋体" w:cs="宋体"/>
          <w:color w:val="auto"/>
          <w:kern w:val="0"/>
          <w:sz w:val="21"/>
          <w:szCs w:val="21"/>
          <w:highlight w:val="none"/>
          <w:lang w:val="en-US" w:eastAsia="zh-CN" w:bidi="ar-SA"/>
        </w:rPr>
        <w:t>。</w:t>
      </w:r>
    </w:p>
    <w:p w14:paraId="4C39698E">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2、人员要求:</w:t>
      </w:r>
    </w:p>
    <w:p w14:paraId="22556E2A">
      <w:pPr>
        <w:pStyle w:val="8"/>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cs="宋体"/>
          <w:color w:val="auto"/>
          <w:highlight w:val="none"/>
          <w:lang w:val="en-US" w:eastAsia="zh-CN"/>
        </w:rPr>
      </w:pPr>
      <w:r>
        <w:rPr>
          <w:rFonts w:hint="eastAsia" w:ascii="宋体" w:hAnsi="宋体" w:cs="宋体"/>
          <w:b w:val="0"/>
          <w:bCs w:val="0"/>
          <w:color w:val="auto"/>
          <w:sz w:val="21"/>
          <w:szCs w:val="21"/>
          <w:highlight w:val="none"/>
          <w:lang w:eastAsia="zh-CN"/>
        </w:rPr>
        <w:t>（</w:t>
      </w:r>
      <w:r>
        <w:rPr>
          <w:rFonts w:hint="eastAsia" w:ascii="宋体" w:hAnsi="宋体" w:eastAsia="宋体" w:cs="宋体"/>
          <w:color w:val="auto"/>
          <w:kern w:val="0"/>
          <w:sz w:val="21"/>
          <w:szCs w:val="21"/>
          <w:highlight w:val="none"/>
          <w:lang w:val="en-US" w:eastAsia="zh-CN" w:bidi="ar-SA"/>
        </w:rPr>
        <w:t>1）</w:t>
      </w:r>
      <w:r>
        <w:rPr>
          <w:rFonts w:hint="eastAsia" w:ascii="宋体" w:hAnsi="宋体" w:cs="宋体"/>
          <w:color w:val="auto"/>
          <w:kern w:val="0"/>
          <w:sz w:val="21"/>
          <w:szCs w:val="21"/>
          <w:highlight w:val="none"/>
          <w:lang w:val="en-US" w:eastAsia="zh-CN" w:bidi="ar-SA"/>
        </w:rPr>
        <w:t>至少一人</w:t>
      </w:r>
      <w:r>
        <w:rPr>
          <w:rFonts w:hint="eastAsia" w:ascii="宋体" w:hAnsi="宋体" w:eastAsia="宋体" w:cs="宋体"/>
          <w:color w:val="auto"/>
          <w:highlight w:val="none"/>
          <w:lang w:val="en-US" w:eastAsia="zh-CN"/>
        </w:rPr>
        <w:t>具备</w:t>
      </w:r>
      <w:r>
        <w:rPr>
          <w:rFonts w:hint="eastAsia" w:ascii="宋体" w:hAnsi="宋体" w:cs="宋体"/>
          <w:color w:val="auto"/>
          <w:highlight w:val="none"/>
          <w:lang w:val="en-US" w:eastAsia="zh-CN"/>
        </w:rPr>
        <w:t>有效的《机动车驾驶证》，且准驾车型为B2或A2或A1。</w:t>
      </w:r>
    </w:p>
    <w:p w14:paraId="6239A232">
      <w:pPr>
        <w:pStyle w:val="8"/>
        <w:keepNext w:val="0"/>
        <w:keepLines w:val="0"/>
        <w:pageBreakBefore w:val="0"/>
        <w:widowControl w:val="0"/>
        <w:kinsoku/>
        <w:wordWrap/>
        <w:overflowPunct/>
        <w:topLinePunct w:val="0"/>
        <w:bidi w:val="0"/>
        <w:adjustRightInd/>
        <w:snapToGrid/>
        <w:spacing w:line="360" w:lineRule="auto"/>
        <w:ind w:left="0" w:firstLine="420" w:firstLineChars="200"/>
        <w:textAlignment w:val="auto"/>
        <w:rPr>
          <w:rFonts w:hint="default" w:ascii="宋体" w:hAnsi="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cs="宋体"/>
          <w:color w:val="auto"/>
          <w:kern w:val="0"/>
          <w:sz w:val="21"/>
          <w:szCs w:val="21"/>
          <w:highlight w:val="none"/>
          <w:lang w:val="en-US" w:eastAsia="zh-CN" w:bidi="ar-SA"/>
        </w:rPr>
        <w:t>至少一人</w:t>
      </w:r>
      <w:r>
        <w:rPr>
          <w:rFonts w:hint="eastAsia" w:ascii="宋体" w:hAnsi="宋体" w:cs="宋体"/>
          <w:color w:val="auto"/>
          <w:highlight w:val="none"/>
          <w:lang w:val="en-US" w:eastAsia="zh-CN"/>
        </w:rPr>
        <w:t>具备有效的《中华人民共和国道路运输从业人员从业资格证》，且准驾车型为B2或A2或A1，从业资格类型包含经营性道路货物运输驾驶员。</w:t>
      </w:r>
    </w:p>
    <w:p w14:paraId="5B39FD12">
      <w:pPr>
        <w:keepNext w:val="0"/>
        <w:keepLines w:val="0"/>
        <w:pageBreakBefore w:val="0"/>
        <w:widowControl w:val="0"/>
        <w:numPr>
          <w:ilvl w:val="0"/>
          <w:numId w:val="0"/>
        </w:numPr>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操作人员</w:t>
      </w:r>
      <w:r>
        <w:rPr>
          <w:rFonts w:hint="eastAsia" w:ascii="宋体" w:hAnsi="宋体" w:eastAsia="宋体" w:cs="宋体"/>
          <w:color w:val="auto"/>
          <w:kern w:val="0"/>
          <w:sz w:val="21"/>
          <w:szCs w:val="21"/>
          <w:highlight w:val="none"/>
          <w:u w:val="none"/>
          <w:lang w:val="en-US" w:eastAsia="zh-CN" w:bidi="ar-SA"/>
        </w:rPr>
        <w:t>经</w:t>
      </w:r>
      <w:r>
        <w:rPr>
          <w:rFonts w:hint="eastAsia" w:ascii="宋体" w:hAnsi="宋体" w:eastAsia="宋体" w:cs="宋体"/>
          <w:color w:val="auto"/>
          <w:kern w:val="0"/>
          <w:sz w:val="21"/>
          <w:szCs w:val="21"/>
          <w:highlight w:val="none"/>
          <w:lang w:val="en-US" w:eastAsia="zh-CN" w:bidi="ar-SA"/>
        </w:rPr>
        <w:t>培训，并有安全培训</w:t>
      </w:r>
      <w:r>
        <w:rPr>
          <w:rFonts w:hint="eastAsia" w:ascii="宋体" w:hAnsi="宋体" w:cs="宋体"/>
          <w:color w:val="auto"/>
          <w:kern w:val="0"/>
          <w:sz w:val="21"/>
          <w:szCs w:val="21"/>
          <w:highlight w:val="none"/>
          <w:lang w:val="en-US" w:eastAsia="zh-CN" w:bidi="ar-SA"/>
        </w:rPr>
        <w:t>记录</w:t>
      </w:r>
      <w:r>
        <w:rPr>
          <w:rFonts w:hint="eastAsia" w:ascii="宋体" w:hAnsi="宋体" w:eastAsia="宋体" w:cs="宋体"/>
          <w:color w:val="auto"/>
          <w:kern w:val="0"/>
          <w:sz w:val="21"/>
          <w:szCs w:val="21"/>
          <w:highlight w:val="none"/>
          <w:lang w:val="en-US" w:eastAsia="zh-CN" w:bidi="ar-SA"/>
        </w:rPr>
        <w:t>，具备相应的安全知识，作业时做好安全警示标志，防止发生意外。</w:t>
      </w:r>
    </w:p>
    <w:p w14:paraId="3D988D05">
      <w:pPr>
        <w:keepNext w:val="0"/>
        <w:keepLines w:val="0"/>
        <w:pageBreakBefore w:val="0"/>
        <w:widowControl w:val="0"/>
        <w:numPr>
          <w:ilvl w:val="0"/>
          <w:numId w:val="0"/>
        </w:numPr>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r>
        <w:rPr>
          <w:rFonts w:hint="eastAsia" w:ascii="宋体" w:hAnsi="宋体" w:eastAsia="宋体" w:cs="宋体"/>
          <w:color w:val="auto"/>
          <w:kern w:val="0"/>
          <w:sz w:val="21"/>
          <w:szCs w:val="21"/>
          <w:highlight w:val="none"/>
          <w:lang w:val="en-US" w:eastAsia="zh-CN" w:bidi="ar-SA"/>
        </w:rPr>
        <w:t>作业时穿着统一款式的工作服，保持衣冠整洁</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佩戴工号牌，有明显所属单位标志。按规定配戴劳保用品作业，使用文明礼貌用语</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能听会说普通话。</w:t>
      </w:r>
    </w:p>
    <w:p w14:paraId="4D51DBF1">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val="0"/>
          <w:bCs w:val="0"/>
          <w:color w:val="auto"/>
          <w:sz w:val="21"/>
          <w:szCs w:val="21"/>
          <w:highlight w:val="none"/>
          <w:lang w:eastAsia="zh-CN"/>
        </w:rPr>
        <w:t>（</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 xml:space="preserve">）服务人员不少于 </w:t>
      </w:r>
      <w:r>
        <w:rPr>
          <w:rFonts w:hint="eastAsia" w:ascii="宋体" w:hAnsi="宋体" w:cs="宋体"/>
          <w:color w:val="auto"/>
          <w:kern w:val="0"/>
          <w:sz w:val="21"/>
          <w:szCs w:val="21"/>
          <w:highlight w:val="none"/>
          <w:lang w:val="en-US" w:eastAsia="zh-CN" w:bidi="ar-SA"/>
        </w:rPr>
        <w:t>2</w:t>
      </w:r>
      <w:r>
        <w:rPr>
          <w:rFonts w:hint="eastAsia" w:ascii="宋体" w:hAnsi="宋体" w:eastAsia="宋体" w:cs="宋体"/>
          <w:color w:val="auto"/>
          <w:kern w:val="0"/>
          <w:sz w:val="21"/>
          <w:szCs w:val="21"/>
          <w:highlight w:val="none"/>
          <w:lang w:val="en-US" w:eastAsia="zh-CN" w:bidi="ar-SA"/>
        </w:rPr>
        <w:t>人</w:t>
      </w:r>
      <w:r>
        <w:rPr>
          <w:rFonts w:hint="eastAsia" w:ascii="宋体" w:hAnsi="宋体" w:cs="宋体"/>
          <w:color w:val="auto"/>
          <w:kern w:val="0"/>
          <w:sz w:val="21"/>
          <w:szCs w:val="21"/>
          <w:highlight w:val="none"/>
          <w:lang w:val="en-US" w:eastAsia="zh-CN" w:bidi="ar-SA"/>
        </w:rPr>
        <w:t>（其中至少包含1名司机人员及1名操作人员）</w:t>
      </w:r>
      <w:r>
        <w:rPr>
          <w:rFonts w:hint="eastAsia" w:ascii="宋体" w:hAnsi="宋体" w:eastAsia="宋体" w:cs="宋体"/>
          <w:color w:val="auto"/>
          <w:kern w:val="0"/>
          <w:sz w:val="21"/>
          <w:szCs w:val="21"/>
          <w:highlight w:val="none"/>
          <w:lang w:val="en-US" w:eastAsia="zh-CN" w:bidi="ar-SA"/>
        </w:rPr>
        <w:t>，服务人员由乙方自行管理。</w:t>
      </w:r>
    </w:p>
    <w:p w14:paraId="1F04ACBD">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lang w:val="en-US" w:eastAsia="zh-CN" w:bidi="ar-SA"/>
        </w:rPr>
        <w:t>如发生紧急情况，采购人临时需要应急人员时，参选人必须临时调整，在 1 小时内所有应急人员必须到达采购人的指定位置，以保证本项目正常运行。</w:t>
      </w:r>
    </w:p>
    <w:p w14:paraId="70EEF5A9">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（7）</w:t>
      </w:r>
      <w:r>
        <w:rPr>
          <w:rFonts w:hint="eastAsia" w:ascii="宋体" w:hAnsi="宋体" w:cs="宋体"/>
          <w:b w:val="0"/>
          <w:bCs/>
          <w:color w:val="auto"/>
          <w:kern w:val="2"/>
          <w:highlight w:val="none"/>
          <w:lang w:val="en-US" w:eastAsia="zh-CN"/>
        </w:rPr>
        <w:t>参选人拟投入本项目的服务团队人员中具备《生活垃圾清运工》职业资格（或职业技能等级）证书。</w:t>
      </w:r>
    </w:p>
    <w:p w14:paraId="078630E4">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p>
    <w:p w14:paraId="63B4CEBD">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二</w:t>
      </w:r>
      <w:r>
        <w:rPr>
          <w:rFonts w:hint="eastAsia" w:ascii="宋体" w:hAnsi="宋体" w:eastAsia="宋体" w:cs="宋体"/>
          <w:color w:val="auto"/>
          <w:kern w:val="0"/>
          <w:sz w:val="21"/>
          <w:szCs w:val="21"/>
          <w:highlight w:val="none"/>
          <w:lang w:val="en-US" w:eastAsia="zh-CN" w:bidi="ar-SA"/>
        </w:rPr>
        <w:t>）其他服务要求</w:t>
      </w:r>
    </w:p>
    <w:p w14:paraId="6E7DEAA3">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需确保废弃物处理和清运途径的合法性，不得造成二次污染。</w:t>
      </w:r>
    </w:p>
    <w:p w14:paraId="19D19FBC">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接受</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检查、监督和指导，听取</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的合理意见并积极协助</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配合政府部门的各项工作检查及整改。</w:t>
      </w:r>
    </w:p>
    <w:p w14:paraId="4B9758C2">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在清运工作时应做到安全、有序</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自觉遵守管理制度。</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工作人员在废弃物清运工作时</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发生伤亡等安全事故</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其一切责任由</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自负</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不承担任何责任。</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在合同期间，生产作业必须符合《中华人民共和国安全生产法》的规定，造成人员伤亡和财产损失的</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由</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负责承担一切法律和经济赔偿责任。</w:t>
      </w:r>
    </w:p>
    <w:p w14:paraId="6E38C13C">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服务人员的聘用符合《中华人民共和国劳动法》，薪资、福利待遇符合广州市劳动用工的相关规定，不得因劳资纠纷影响</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项目的实施。</w:t>
      </w:r>
    </w:p>
    <w:p w14:paraId="0DAD0FFC">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安全作业，严格按照相关法规的要求，制定和落实包括但不限于作业安全、消防安全、交通安全等规章制度。</w:t>
      </w:r>
    </w:p>
    <w:p w14:paraId="30C21D23">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协助</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处理垃圾中转站内的日常卫生清洁工作和管理，保证场内卫生整齐、干净。</w:t>
      </w:r>
    </w:p>
    <w:p w14:paraId="43787810">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8、</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在清运过程中如出现损坏</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的垃圾容器及其他公用设施的，由</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负责赔偿。</w:t>
      </w:r>
    </w:p>
    <w:p w14:paraId="40CD41A0">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9、</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在合同期内其工作人员发生各种事故，包括治安、交通、防火、劳资纠纷等事件，所造成一切后果及损失，由</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负责承担所有责任和经济赔偿。</w:t>
      </w:r>
    </w:p>
    <w:p w14:paraId="71CE7C85">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10、如因</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引起的劳资纠纷等问题，影响正常工作时，</w:t>
      </w:r>
      <w:r>
        <w:rPr>
          <w:rFonts w:hint="eastAsia" w:ascii="宋体" w:hAnsi="宋体" w:cs="宋体"/>
          <w:color w:val="auto"/>
          <w:kern w:val="0"/>
          <w:sz w:val="21"/>
          <w:szCs w:val="21"/>
          <w:highlight w:val="none"/>
          <w:lang w:val="en-US" w:eastAsia="zh-CN" w:bidi="ar-SA"/>
        </w:rPr>
        <w:t>甲方</w:t>
      </w:r>
      <w:r>
        <w:rPr>
          <w:rFonts w:hint="eastAsia" w:ascii="宋体" w:hAnsi="宋体" w:eastAsia="宋体" w:cs="宋体"/>
          <w:color w:val="auto"/>
          <w:kern w:val="0"/>
          <w:sz w:val="21"/>
          <w:szCs w:val="21"/>
          <w:highlight w:val="none"/>
          <w:lang w:val="en-US" w:eastAsia="zh-CN" w:bidi="ar-SA"/>
        </w:rPr>
        <w:t>有权另行聘请人员确保正常工作，所产生的费用在</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的合同费用中相应扣减。</w:t>
      </w:r>
    </w:p>
    <w:p w14:paraId="771B7EFA">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11、</w:t>
      </w:r>
      <w:r>
        <w:rPr>
          <w:rFonts w:hint="eastAsia" w:ascii="宋体" w:hAnsi="宋体" w:cs="宋体"/>
          <w:color w:val="auto"/>
          <w:kern w:val="0"/>
          <w:sz w:val="21"/>
          <w:szCs w:val="21"/>
          <w:highlight w:val="none"/>
          <w:lang w:val="en-US" w:eastAsia="zh-CN" w:bidi="ar-SA"/>
        </w:rPr>
        <w:t>乙方</w:t>
      </w:r>
      <w:r>
        <w:rPr>
          <w:rFonts w:hint="eastAsia" w:ascii="宋体" w:hAnsi="宋体" w:eastAsia="宋体" w:cs="宋体"/>
          <w:color w:val="auto"/>
          <w:kern w:val="0"/>
          <w:sz w:val="21"/>
          <w:szCs w:val="21"/>
          <w:highlight w:val="none"/>
          <w:lang w:val="en-US" w:eastAsia="zh-CN" w:bidi="ar-SA"/>
        </w:rPr>
        <w:t>确保各垃圾收集点卫生整洁，垃圾桶摆放整齐。</w:t>
      </w:r>
    </w:p>
    <w:p w14:paraId="61119F42">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12、垃圾运输车</w:t>
      </w:r>
      <w:r>
        <w:rPr>
          <w:rFonts w:hint="eastAsia" w:ascii="宋体" w:hAnsi="宋体" w:cs="宋体"/>
          <w:color w:val="auto"/>
          <w:kern w:val="0"/>
          <w:sz w:val="21"/>
          <w:szCs w:val="21"/>
          <w:highlight w:val="none"/>
          <w:lang w:val="en-US" w:eastAsia="zh-CN" w:bidi="ar-SA"/>
        </w:rPr>
        <w:t>（</w:t>
      </w:r>
      <w:r>
        <w:rPr>
          <w:rFonts w:hint="eastAsia" w:ascii="宋体" w:hAnsi="宋体" w:cs="宋体"/>
          <w:color w:val="auto"/>
          <w:highlight w:val="none"/>
          <w:lang w:val="en-US" w:eastAsia="zh-CN"/>
        </w:rPr>
        <w:t>全密闭自动卸载车辆或</w:t>
      </w:r>
      <w:r>
        <w:rPr>
          <w:rFonts w:hint="eastAsia" w:ascii="宋体" w:hAnsi="宋体" w:eastAsia="宋体" w:cs="宋体"/>
          <w:color w:val="auto"/>
          <w:highlight w:val="none"/>
          <w:lang w:val="en-US" w:eastAsia="zh-CN"/>
        </w:rPr>
        <w:t>垃圾压缩车</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涂装标识合规，整体外观整洁，功能完善，性能可靠，做到</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三无” 要求: 无垃圾外露、无残余物外挂、无污水滴漏；遵守交通规则，不得超速超载行驶，遵守填埋场管理规定，文明礼貌，要求每天对车辆进行清洗和车况检查, 保持车容车貌整洁干净。</w:t>
      </w:r>
    </w:p>
    <w:p w14:paraId="0A5BA161">
      <w:pPr>
        <w:keepNext w:val="0"/>
        <w:keepLines w:val="0"/>
        <w:pageBreakBefore w:val="0"/>
        <w:widowControl w:val="0"/>
        <w:tabs>
          <w:tab w:val="left" w:pos="-1995"/>
          <w:tab w:val="left" w:pos="0"/>
        </w:tabs>
        <w:kinsoku/>
        <w:wordWrap/>
        <w:overflowPunct/>
        <w:topLinePunct w:val="0"/>
        <w:autoSpaceDE/>
        <w:autoSpaceDN/>
        <w:bidi w:val="0"/>
        <w:adjustRightInd/>
        <w:snapToGrid/>
        <w:spacing w:beforeAutospacing="0" w:afterAutospacing="0" w:line="360" w:lineRule="auto"/>
        <w:ind w:left="0" w:firstLine="422"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b/>
          <w:color w:val="auto"/>
          <w:kern w:val="0"/>
          <w:sz w:val="21"/>
          <w:szCs w:val="21"/>
          <w:highlight w:val="none"/>
          <w:lang w:val="en-US" w:eastAsia="zh-CN"/>
        </w:rPr>
        <w:t>13、</w:t>
      </w:r>
      <w:r>
        <w:rPr>
          <w:rFonts w:hint="eastAsia" w:ascii="宋体" w:hAnsi="宋体" w:eastAsia="宋体" w:cs="宋体"/>
          <w:b/>
          <w:color w:val="auto"/>
          <w:kern w:val="0"/>
          <w:sz w:val="21"/>
          <w:szCs w:val="21"/>
          <w:highlight w:val="none"/>
        </w:rPr>
        <w:t>安全、文明</w:t>
      </w:r>
      <w:r>
        <w:rPr>
          <w:rFonts w:hint="eastAsia" w:ascii="宋体" w:hAnsi="宋体" w:eastAsia="宋体" w:cs="宋体"/>
          <w:b/>
          <w:color w:val="auto"/>
          <w:kern w:val="0"/>
          <w:sz w:val="21"/>
          <w:szCs w:val="21"/>
          <w:highlight w:val="none"/>
          <w:lang w:eastAsia="zh-CN"/>
        </w:rPr>
        <w:t>作业</w:t>
      </w:r>
      <w:r>
        <w:rPr>
          <w:rFonts w:hint="eastAsia" w:ascii="宋体" w:hAnsi="宋体" w:eastAsia="宋体" w:cs="宋体"/>
          <w:b/>
          <w:color w:val="auto"/>
          <w:kern w:val="0"/>
          <w:sz w:val="21"/>
          <w:szCs w:val="21"/>
          <w:highlight w:val="none"/>
        </w:rPr>
        <w:t>的要求</w:t>
      </w:r>
    </w:p>
    <w:p w14:paraId="23299A34">
      <w:pPr>
        <w:tabs>
          <w:tab w:val="left" w:pos="630"/>
        </w:tabs>
        <w:ind w:firstLine="420" w:firstLineChars="200"/>
        <w:rPr>
          <w:rFonts w:hint="eastAsia" w:ascii="宋体" w:hAnsi="宋体" w:eastAsia="宋体" w:cs="宋体"/>
          <w:color w:val="auto"/>
          <w:kern w:val="0"/>
          <w:sz w:val="21"/>
          <w:szCs w:val="21"/>
          <w:highlight w:val="none"/>
          <w:lang w:val="en-US" w:eastAsia="zh-CN" w:bidi="ar-SA"/>
        </w:rPr>
      </w:pPr>
      <w:bookmarkStart w:id="1240" w:name="_Toc21339"/>
      <w:r>
        <w:rPr>
          <w:rFonts w:hint="eastAsia" w:ascii="宋体" w:hAnsi="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CN" w:bidi="ar-SA"/>
        </w:rPr>
        <w:t>1）</w:t>
      </w:r>
      <w:r>
        <w:rPr>
          <w:rFonts w:hint="eastAsia" w:ascii="宋体" w:hAnsi="宋体" w:cs="宋体"/>
          <w:b w:val="0"/>
          <w:bCs w:val="0"/>
          <w:color w:val="auto"/>
          <w:kern w:val="0"/>
          <w:sz w:val="21"/>
          <w:szCs w:val="21"/>
          <w:highlight w:val="none"/>
          <w:lang w:val="en-US" w:eastAsia="zh-CN" w:bidi="ar-SA"/>
        </w:rPr>
        <w:t>乙方</w:t>
      </w:r>
      <w:r>
        <w:rPr>
          <w:rFonts w:hint="eastAsia" w:ascii="宋体" w:hAnsi="宋体" w:eastAsia="宋体" w:cs="宋体"/>
          <w:b w:val="0"/>
          <w:bCs w:val="0"/>
          <w:color w:val="auto"/>
          <w:kern w:val="0"/>
          <w:sz w:val="21"/>
          <w:szCs w:val="21"/>
          <w:highlight w:val="none"/>
          <w:lang w:val="en-US" w:eastAsia="zh-CN" w:bidi="ar-SA"/>
        </w:rPr>
        <w:t>必须达到前述</w:t>
      </w:r>
      <w:r>
        <w:rPr>
          <w:rFonts w:hint="eastAsia" w:ascii="宋体" w:hAnsi="宋体" w:cs="宋体"/>
          <w:b w:val="0"/>
          <w:bCs w:val="0"/>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二</w:t>
      </w:r>
      <w:r>
        <w:rPr>
          <w:rFonts w:hint="eastAsia" w:ascii="宋体" w:hAnsi="宋体" w:eastAsia="宋体" w:cs="宋体"/>
          <w:color w:val="auto"/>
          <w:kern w:val="0"/>
          <w:sz w:val="21"/>
          <w:szCs w:val="21"/>
          <w:highlight w:val="none"/>
          <w:lang w:val="en-US" w:eastAsia="zh-CN" w:bidi="ar-SA"/>
        </w:rPr>
        <w:t>）其他服务要求</w:t>
      </w:r>
      <w:r>
        <w:rPr>
          <w:rFonts w:hint="eastAsia" w:ascii="宋体" w:hAnsi="宋体" w:cs="宋体"/>
          <w:b w:val="0"/>
          <w:bCs w:val="0"/>
          <w:color w:val="auto"/>
          <w:kern w:val="0"/>
          <w:sz w:val="21"/>
          <w:szCs w:val="21"/>
          <w:highlight w:val="none"/>
          <w:lang w:val="en-US" w:eastAsia="zh-CN" w:bidi="ar-SA"/>
        </w:rPr>
        <w:t>”序号1至12条款）</w:t>
      </w:r>
      <w:r>
        <w:rPr>
          <w:rFonts w:hint="eastAsia" w:ascii="宋体" w:hAnsi="宋体" w:eastAsia="宋体" w:cs="宋体"/>
          <w:b w:val="0"/>
          <w:bCs w:val="0"/>
          <w:color w:val="auto"/>
          <w:kern w:val="0"/>
          <w:sz w:val="21"/>
          <w:szCs w:val="21"/>
          <w:highlight w:val="none"/>
          <w:lang w:val="en-US" w:eastAsia="zh-CN" w:bidi="ar-SA"/>
        </w:rPr>
        <w:t>的安全目标要求</w:t>
      </w:r>
      <w:r>
        <w:rPr>
          <w:rFonts w:hint="eastAsia" w:ascii="宋体" w:hAnsi="宋体" w:cs="宋体"/>
          <w:b w:val="0"/>
          <w:bCs w:val="0"/>
          <w:color w:val="auto"/>
          <w:kern w:val="0"/>
          <w:sz w:val="21"/>
          <w:szCs w:val="21"/>
          <w:highlight w:val="none"/>
          <w:lang w:val="en-US" w:eastAsia="zh-CN" w:bidi="ar-SA"/>
        </w:rPr>
        <w:t>。</w:t>
      </w:r>
      <w:bookmarkEnd w:id="1240"/>
    </w:p>
    <w:p w14:paraId="217B5D6F">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bookmarkStart w:id="1241" w:name="_Toc4065"/>
      <w:r>
        <w:rPr>
          <w:rFonts w:hint="eastAsia" w:ascii="宋体" w:hAnsi="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CN" w:bidi="ar-SA"/>
        </w:rPr>
        <w:t>2）</w:t>
      </w:r>
      <w:r>
        <w:rPr>
          <w:rFonts w:hint="eastAsia" w:ascii="宋体" w:hAnsi="宋体" w:cs="宋体"/>
          <w:b w:val="0"/>
          <w:bCs w:val="0"/>
          <w:color w:val="auto"/>
          <w:kern w:val="0"/>
          <w:sz w:val="21"/>
          <w:szCs w:val="21"/>
          <w:highlight w:val="none"/>
          <w:lang w:val="en-US" w:eastAsia="zh-CN" w:bidi="ar-SA"/>
        </w:rPr>
        <w:t>乙方</w:t>
      </w:r>
      <w:r>
        <w:rPr>
          <w:rFonts w:hint="eastAsia" w:ascii="宋体" w:hAnsi="宋体" w:eastAsia="宋体" w:cs="宋体"/>
          <w:b w:val="0"/>
          <w:bCs w:val="0"/>
          <w:color w:val="auto"/>
          <w:kern w:val="0"/>
          <w:sz w:val="21"/>
          <w:szCs w:val="21"/>
          <w:highlight w:val="none"/>
          <w:lang w:val="en-US" w:eastAsia="zh-CN" w:bidi="ar-SA"/>
        </w:rPr>
        <w:t>应分别设有专门的组织机构、组织措施、及奖惩制度，并配备专职负责人员及管理人员，现场配备必要的安全、文明设施。</w:t>
      </w:r>
      <w:bookmarkEnd w:id="1241"/>
    </w:p>
    <w:p w14:paraId="1FB48783">
      <w:pPr>
        <w:keepNext w:val="0"/>
        <w:keepLines w:val="0"/>
        <w:pageBreakBefore w:val="0"/>
        <w:widowControl w:val="0"/>
        <w:kinsoku/>
        <w:wordWrap/>
        <w:overflowPunct/>
        <w:topLinePunct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文明作业，作业中无吵杂声、不干扰医务人员和就医人员、无二次污染现象；清运途中无超载、超速、漏撒和明显扬尘现象。</w:t>
      </w:r>
    </w:p>
    <w:p w14:paraId="7CA9BF17">
      <w:pPr>
        <w:keepNext w:val="0"/>
        <w:keepLines w:val="0"/>
        <w:pageBreakBefore w:val="0"/>
        <w:widowControl w:val="0"/>
        <w:tabs>
          <w:tab w:val="left" w:pos="630"/>
        </w:tabs>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（4）乙方</w:t>
      </w:r>
      <w:r>
        <w:rPr>
          <w:rFonts w:hint="eastAsia" w:ascii="宋体" w:hAnsi="宋体" w:eastAsia="宋体" w:cs="宋体"/>
          <w:color w:val="auto"/>
          <w:kern w:val="0"/>
          <w:sz w:val="21"/>
          <w:szCs w:val="21"/>
          <w:highlight w:val="none"/>
          <w:lang w:val="en-US" w:eastAsia="zh-CN" w:bidi="ar-SA"/>
        </w:rPr>
        <w:t>应当根据服务需要定期对应急人员及车辆驾驶员进行法律、城市管理业务知识、垃圾分类知识、安全防范专业知识和技能培训。</w:t>
      </w:r>
    </w:p>
    <w:p w14:paraId="420306C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服务车辆定期维修、保养，确保车辆车况良好，外观整洁。</w:t>
      </w:r>
    </w:p>
    <w:p w14:paraId="1CED5D7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b/>
          <w:color w:val="auto"/>
          <w:kern w:val="0"/>
          <w:sz w:val="21"/>
          <w:szCs w:val="21"/>
          <w:highlight w:val="none"/>
        </w:rPr>
      </w:pPr>
      <w:r>
        <w:rPr>
          <w:rFonts w:hint="eastAsia" w:ascii="宋体" w:hAnsi="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lang w:val="en-US" w:eastAsia="zh-CN" w:bidi="ar-SA"/>
        </w:rPr>
        <w:t>按照广州市、属地区和街道的废弃物分类工作要求，做好废弃物分类运输工作。</w:t>
      </w:r>
    </w:p>
    <w:p w14:paraId="4E5B1635">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2" w:firstLineChars="200"/>
        <w:jc w:val="both"/>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14</w:t>
      </w:r>
      <w:r>
        <w:rPr>
          <w:rFonts w:hint="eastAsia" w:ascii="宋体" w:hAnsi="宋体" w:eastAsia="宋体" w:cs="宋体"/>
          <w:b/>
          <w:color w:val="auto"/>
          <w:kern w:val="0"/>
          <w:sz w:val="21"/>
          <w:szCs w:val="21"/>
          <w:highlight w:val="none"/>
        </w:rPr>
        <w:t>、质量要求</w:t>
      </w:r>
    </w:p>
    <w:p w14:paraId="7AA6265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（1）乙方</w:t>
      </w:r>
      <w:r>
        <w:rPr>
          <w:rFonts w:hint="eastAsia" w:ascii="宋体" w:hAnsi="宋体" w:eastAsia="宋体" w:cs="宋体"/>
          <w:color w:val="auto"/>
          <w:kern w:val="0"/>
          <w:sz w:val="21"/>
          <w:szCs w:val="21"/>
          <w:highlight w:val="none"/>
          <w:lang w:val="en-US" w:eastAsia="zh-CN" w:bidi="ar-SA"/>
        </w:rPr>
        <w:t>守法经营，严禁偷倒、乱倒废弃物，严防产生二次污染、破坏环境的非法行为。</w:t>
      </w:r>
    </w:p>
    <w:p w14:paraId="7C1DD52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（2）乙方</w:t>
      </w:r>
      <w:r>
        <w:rPr>
          <w:rFonts w:hint="eastAsia" w:ascii="宋体" w:hAnsi="宋体" w:eastAsia="宋体" w:cs="宋体"/>
          <w:color w:val="auto"/>
          <w:kern w:val="0"/>
          <w:sz w:val="21"/>
          <w:szCs w:val="21"/>
          <w:highlight w:val="none"/>
          <w:lang w:val="en-US" w:eastAsia="zh-CN" w:bidi="ar-SA"/>
        </w:rPr>
        <w:t>自行制定可行、最短的合理路线，</w:t>
      </w:r>
      <w:r>
        <w:rPr>
          <w:rFonts w:hint="eastAsia" w:ascii="瀹嬩綋" w:hAnsi="瀹嬩綋" w:eastAsia="瀹嬩綋" w:cs="瀹嬩綋"/>
          <w:color w:val="auto"/>
          <w:kern w:val="2"/>
          <w:sz w:val="21"/>
          <w:szCs w:val="21"/>
          <w:highlight w:val="none"/>
          <w:shd w:val="clear" w:fill="FFFFFF"/>
          <w:lang w:val="en-US" w:eastAsia="zh-CN" w:bidi="ar"/>
        </w:rPr>
        <w:t>将收集的城市生活垃圾运到人民政府建设（环境卫生）主管部门认可的处置场所</w:t>
      </w:r>
      <w:r>
        <w:rPr>
          <w:rFonts w:hint="eastAsia" w:ascii="宋体" w:hAnsi="宋体" w:eastAsia="宋体" w:cs="宋体"/>
          <w:color w:val="auto"/>
          <w:kern w:val="0"/>
          <w:sz w:val="21"/>
          <w:szCs w:val="21"/>
          <w:highlight w:val="none"/>
          <w:lang w:val="en-US" w:eastAsia="zh-CN" w:bidi="ar-SA"/>
        </w:rPr>
        <w:t>。所有垃圾必须合法合规处理。</w:t>
      </w:r>
    </w:p>
    <w:p w14:paraId="0C2C50C8">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firstLine="422" w:firstLineChars="200"/>
        <w:jc w:val="both"/>
        <w:textAlignment w:val="auto"/>
        <w:rPr>
          <w:rFonts w:hint="eastAsia" w:ascii="宋体" w:hAnsi="宋体" w:eastAsia="宋体" w:cs="宋体"/>
          <w:b/>
          <w:color w:val="auto"/>
          <w:sz w:val="21"/>
          <w:szCs w:val="21"/>
          <w:highlight w:val="none"/>
        </w:rPr>
      </w:pPr>
    </w:p>
    <w:p w14:paraId="58B99D5C">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34" w:firstLineChars="200"/>
        <w:jc w:val="both"/>
        <w:textAlignment w:val="auto"/>
        <w:rPr>
          <w:rFonts w:hint="eastAsia" w:ascii="宋体" w:hAnsi="宋体" w:eastAsia="宋体" w:cs="宋体"/>
          <w:color w:val="auto"/>
          <w:spacing w:val="4"/>
          <w:sz w:val="21"/>
          <w:szCs w:val="21"/>
          <w:highlight w:val="none"/>
          <w:lang w:val="en-US" w:eastAsia="zh-CN"/>
        </w:rPr>
      </w:pPr>
      <w:r>
        <w:rPr>
          <w:rFonts w:hint="default" w:ascii="宋体" w:hAnsi="宋体" w:eastAsia="宋体" w:cs="宋体"/>
          <w:b/>
          <w:bCs/>
          <w:color w:val="auto"/>
          <w:spacing w:val="3"/>
          <w:sz w:val="21"/>
          <w:szCs w:val="21"/>
          <w:highlight w:val="none"/>
          <w:lang w:val="en-US" w:eastAsia="zh-CN"/>
        </w:rPr>
        <w:t>三、</w:t>
      </w:r>
      <w:r>
        <w:rPr>
          <w:rFonts w:hint="eastAsia" w:ascii="宋体" w:hAnsi="宋体" w:eastAsia="宋体" w:cs="宋体"/>
          <w:b/>
          <w:bCs/>
          <w:color w:val="auto"/>
          <w:spacing w:val="3"/>
          <w:sz w:val="21"/>
          <w:szCs w:val="21"/>
          <w:highlight w:val="none"/>
          <w:lang w:val="en-US" w:eastAsia="zh-CN"/>
        </w:rPr>
        <w:t>验收要求</w:t>
      </w:r>
    </w:p>
    <w:p w14:paraId="41EFC836">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36" w:firstLineChars="20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cs="宋体"/>
          <w:color w:val="auto"/>
          <w:spacing w:val="4"/>
          <w:sz w:val="21"/>
          <w:szCs w:val="21"/>
          <w:highlight w:val="none"/>
          <w:lang w:val="en-US" w:eastAsia="zh-CN"/>
        </w:rPr>
        <w:t>（1）</w:t>
      </w:r>
      <w:r>
        <w:rPr>
          <w:rFonts w:hint="eastAsia" w:ascii="宋体" w:hAnsi="宋体" w:eastAsia="宋体" w:cs="宋体"/>
          <w:color w:val="auto"/>
          <w:spacing w:val="4"/>
          <w:sz w:val="21"/>
          <w:szCs w:val="21"/>
          <w:highlight w:val="none"/>
          <w:lang w:val="en-US" w:eastAsia="zh-CN"/>
        </w:rPr>
        <w:t>项目管理和服务月度质量满意度考评：从病人满意度、使用科室满意度、院级主管人员满意度三个维度对服务质量检查进行综合考评，综合考评分≥90分为合格，</w:t>
      </w:r>
      <w:r>
        <w:rPr>
          <w:rFonts w:hint="eastAsia" w:ascii="宋体" w:hAnsi="宋体" w:cs="宋体"/>
          <w:color w:val="auto"/>
          <w:spacing w:val="4"/>
          <w:sz w:val="21"/>
          <w:szCs w:val="21"/>
          <w:highlight w:val="none"/>
          <w:lang w:val="en-US" w:eastAsia="zh-CN"/>
        </w:rPr>
        <w:t>＜</w:t>
      </w:r>
      <w:r>
        <w:rPr>
          <w:rFonts w:hint="eastAsia" w:ascii="宋体" w:hAnsi="宋体" w:eastAsia="宋体" w:cs="宋体"/>
          <w:color w:val="auto"/>
          <w:spacing w:val="4"/>
          <w:sz w:val="21"/>
          <w:szCs w:val="21"/>
          <w:highlight w:val="none"/>
          <w:lang w:val="en-US" w:eastAsia="zh-CN"/>
        </w:rPr>
        <w:t>90分的为不合格，低于90分每下降1分扣罚当月服务费2000元。</w:t>
      </w:r>
    </w:p>
    <w:p w14:paraId="611120D9">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32" w:firstLineChars="20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val="en-US" w:eastAsia="zh-CN"/>
        </w:rPr>
        <w:t>同一个月内</w:t>
      </w:r>
      <w:r>
        <w:rPr>
          <w:rFonts w:hint="eastAsia" w:ascii="宋体" w:hAnsi="宋体" w:eastAsia="宋体" w:cs="宋体"/>
          <w:color w:val="auto"/>
          <w:spacing w:val="4"/>
          <w:sz w:val="21"/>
          <w:szCs w:val="21"/>
          <w:highlight w:val="none"/>
          <w:lang w:val="en-US" w:eastAsia="zh-CN"/>
        </w:rPr>
        <w:t>出现两次达不到</w:t>
      </w:r>
      <w:r>
        <w:rPr>
          <w:rFonts w:hint="eastAsia" w:ascii="宋体" w:hAnsi="宋体" w:cs="宋体"/>
          <w:color w:val="auto"/>
          <w:spacing w:val="4"/>
          <w:sz w:val="21"/>
          <w:szCs w:val="21"/>
          <w:highlight w:val="none"/>
          <w:lang w:val="en-US" w:eastAsia="zh-CN"/>
        </w:rPr>
        <w:t>甲方</w:t>
      </w:r>
      <w:r>
        <w:rPr>
          <w:rFonts w:hint="eastAsia" w:ascii="宋体" w:hAnsi="宋体" w:eastAsia="宋体" w:cs="宋体"/>
          <w:color w:val="auto"/>
          <w:spacing w:val="4"/>
          <w:sz w:val="21"/>
          <w:szCs w:val="21"/>
          <w:highlight w:val="none"/>
          <w:lang w:val="en-US" w:eastAsia="zh-CN"/>
        </w:rPr>
        <w:t>服务要求的，或连续三个月满意度均低于90分，或一年内累计有4个月满意度均低于90分，</w:t>
      </w:r>
      <w:r>
        <w:rPr>
          <w:rFonts w:hint="eastAsia" w:ascii="宋体" w:hAnsi="宋体" w:cs="宋体"/>
          <w:color w:val="auto"/>
          <w:spacing w:val="4"/>
          <w:sz w:val="21"/>
          <w:szCs w:val="21"/>
          <w:highlight w:val="none"/>
          <w:lang w:val="en-US" w:eastAsia="zh-CN"/>
        </w:rPr>
        <w:t>甲方</w:t>
      </w:r>
      <w:r>
        <w:rPr>
          <w:rFonts w:hint="eastAsia" w:ascii="宋体" w:hAnsi="宋体" w:eastAsia="宋体" w:cs="宋体"/>
          <w:color w:val="auto"/>
          <w:spacing w:val="4"/>
          <w:sz w:val="21"/>
          <w:szCs w:val="21"/>
          <w:highlight w:val="none"/>
          <w:lang w:val="en-US" w:eastAsia="zh-CN"/>
        </w:rPr>
        <w:t>有权解除合同</w:t>
      </w:r>
      <w:r>
        <w:rPr>
          <w:rFonts w:hint="eastAsia" w:ascii="宋体" w:hAnsi="宋体" w:cs="宋体"/>
          <w:color w:val="auto"/>
          <w:spacing w:val="4"/>
          <w:sz w:val="21"/>
          <w:szCs w:val="21"/>
          <w:highlight w:val="none"/>
          <w:lang w:val="en-US" w:eastAsia="zh-CN"/>
        </w:rPr>
        <w:t>，</w:t>
      </w:r>
      <w:r>
        <w:rPr>
          <w:rFonts w:hint="eastAsia" w:ascii="宋体" w:hAnsi="宋体" w:eastAsia="宋体" w:cs="宋体"/>
          <w:color w:val="auto"/>
          <w:spacing w:val="4"/>
          <w:sz w:val="21"/>
          <w:szCs w:val="21"/>
          <w:highlight w:val="none"/>
          <w:lang w:val="en-US" w:eastAsia="zh-CN"/>
        </w:rPr>
        <w:t>违约责任由</w:t>
      </w:r>
      <w:r>
        <w:rPr>
          <w:rFonts w:hint="eastAsia" w:ascii="宋体" w:hAnsi="宋体" w:cs="宋体"/>
          <w:color w:val="auto"/>
          <w:spacing w:val="4"/>
          <w:sz w:val="21"/>
          <w:szCs w:val="21"/>
          <w:highlight w:val="none"/>
          <w:lang w:val="en-US" w:eastAsia="zh-CN"/>
        </w:rPr>
        <w:t>乙方</w:t>
      </w:r>
      <w:r>
        <w:rPr>
          <w:rFonts w:hint="eastAsia" w:ascii="宋体" w:hAnsi="宋体" w:eastAsia="宋体" w:cs="宋体"/>
          <w:color w:val="auto"/>
          <w:spacing w:val="4"/>
          <w:sz w:val="21"/>
          <w:szCs w:val="21"/>
          <w:highlight w:val="none"/>
          <w:lang w:val="en-US" w:eastAsia="zh-CN"/>
        </w:rPr>
        <w:t>负责，由此造成的一切损失均由</w:t>
      </w:r>
      <w:r>
        <w:rPr>
          <w:rFonts w:hint="eastAsia" w:ascii="宋体" w:hAnsi="宋体" w:cs="宋体"/>
          <w:color w:val="auto"/>
          <w:spacing w:val="4"/>
          <w:sz w:val="21"/>
          <w:szCs w:val="21"/>
          <w:highlight w:val="none"/>
          <w:lang w:val="en-US" w:eastAsia="zh-CN"/>
        </w:rPr>
        <w:t>乙方</w:t>
      </w:r>
      <w:r>
        <w:rPr>
          <w:rFonts w:hint="eastAsia" w:ascii="宋体" w:hAnsi="宋体" w:eastAsia="宋体" w:cs="宋体"/>
          <w:color w:val="auto"/>
          <w:spacing w:val="4"/>
          <w:sz w:val="21"/>
          <w:szCs w:val="21"/>
          <w:highlight w:val="none"/>
          <w:lang w:val="en-US" w:eastAsia="zh-CN"/>
        </w:rPr>
        <w:t>负责。</w:t>
      </w:r>
    </w:p>
    <w:p w14:paraId="0438361B">
      <w:pPr>
        <w:pStyle w:val="48"/>
        <w:keepNext w:val="0"/>
        <w:keepLines w:val="0"/>
        <w:pageBreakBefore w:val="0"/>
        <w:kinsoku/>
        <w:wordWrap/>
        <w:overflowPunct/>
        <w:topLinePunct w:val="0"/>
        <w:autoSpaceDE/>
        <w:autoSpaceDN/>
        <w:bidi w:val="0"/>
        <w:adjustRightInd/>
        <w:snapToGrid/>
        <w:spacing w:line="360" w:lineRule="auto"/>
        <w:ind w:left="0" w:firstLine="422" w:firstLineChars="200"/>
        <w:jc w:val="both"/>
        <w:textAlignment w:val="auto"/>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3</w:t>
      </w:r>
      <w:r>
        <w:rPr>
          <w:rFonts w:hint="eastAsia" w:ascii="宋体" w:hAnsi="宋体" w:cs="宋体"/>
          <w:b/>
          <w:color w:val="auto"/>
          <w:sz w:val="21"/>
          <w:szCs w:val="21"/>
          <w:highlight w:val="none"/>
          <w:lang w:eastAsia="zh-CN"/>
        </w:rPr>
        <w:t>）</w:t>
      </w:r>
      <w:r>
        <w:rPr>
          <w:rFonts w:hint="eastAsia" w:ascii="宋体" w:hAnsi="宋体" w:eastAsia="宋体" w:cs="宋体"/>
          <w:b/>
          <w:color w:val="auto"/>
          <w:sz w:val="21"/>
          <w:szCs w:val="21"/>
          <w:highlight w:val="none"/>
        </w:rPr>
        <w:t>验收、履约考评标准：总分100分，考评通过《服务满意度评分表》进行综合考评。</w:t>
      </w:r>
    </w:p>
    <w:tbl>
      <w:tblPr>
        <w:tblStyle w:val="24"/>
        <w:tblW w:w="494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0"/>
        <w:gridCol w:w="1412"/>
        <w:gridCol w:w="510"/>
        <w:gridCol w:w="3899"/>
        <w:gridCol w:w="799"/>
        <w:gridCol w:w="612"/>
        <w:gridCol w:w="851"/>
      </w:tblGrid>
      <w:tr w14:paraId="5BA6B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000" w:type="pct"/>
            <w:gridSpan w:val="7"/>
            <w:tcBorders>
              <w:tl2br w:val="nil"/>
              <w:tr2bl w:val="nil"/>
            </w:tcBorders>
            <w:noWrap w:val="0"/>
            <w:vAlign w:val="center"/>
          </w:tcPr>
          <w:p w14:paraId="41752B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服务满意度评分表（2026年版）</w:t>
            </w:r>
            <w:r>
              <w:rPr>
                <w:rFonts w:hint="eastAsia" w:ascii="宋体" w:hAnsi="宋体" w:eastAsia="宋体" w:cs="宋体"/>
                <w:b/>
                <w:bCs/>
                <w:i w:val="0"/>
                <w:iCs w:val="0"/>
                <w:color w:val="auto"/>
                <w:kern w:val="0"/>
                <w:sz w:val="21"/>
                <w:szCs w:val="21"/>
                <w:highlight w:val="none"/>
                <w:u w:val="none"/>
                <w:lang w:val="en-US" w:eastAsia="zh-CN" w:bidi="ar"/>
              </w:rPr>
              <w:br w:type="textWrapping"/>
            </w:r>
            <w:r>
              <w:rPr>
                <w:rStyle w:val="65"/>
                <w:rFonts w:hint="eastAsia" w:ascii="宋体" w:hAnsi="宋体" w:eastAsia="宋体" w:cs="宋体"/>
                <w:color w:val="auto"/>
                <w:sz w:val="21"/>
                <w:szCs w:val="21"/>
                <w:highlight w:val="none"/>
                <w:lang w:val="en-US" w:eastAsia="zh-CN" w:bidi="ar"/>
              </w:rPr>
              <w:t xml:space="preserve">    </w:t>
            </w:r>
            <w:r>
              <w:rPr>
                <w:rStyle w:val="66"/>
                <w:rFonts w:hint="eastAsia" w:ascii="宋体" w:hAnsi="宋体" w:eastAsia="宋体" w:cs="宋体"/>
                <w:color w:val="auto"/>
                <w:sz w:val="21"/>
                <w:szCs w:val="21"/>
                <w:highlight w:val="none"/>
                <w:lang w:val="en-US" w:eastAsia="zh-CN" w:bidi="ar"/>
              </w:rPr>
              <w:t>年</w:t>
            </w:r>
            <w:r>
              <w:rPr>
                <w:rStyle w:val="65"/>
                <w:rFonts w:hint="eastAsia" w:ascii="宋体" w:hAnsi="宋体" w:eastAsia="宋体" w:cs="宋体"/>
                <w:color w:val="auto"/>
                <w:sz w:val="21"/>
                <w:szCs w:val="21"/>
                <w:highlight w:val="none"/>
                <w:lang w:val="en-US" w:eastAsia="zh-CN" w:bidi="ar"/>
              </w:rPr>
              <w:t xml:space="preserve">   </w:t>
            </w:r>
            <w:r>
              <w:rPr>
                <w:rStyle w:val="66"/>
                <w:rFonts w:hint="eastAsia" w:ascii="宋体" w:hAnsi="宋体" w:eastAsia="宋体" w:cs="宋体"/>
                <w:color w:val="auto"/>
                <w:sz w:val="21"/>
                <w:szCs w:val="21"/>
                <w:highlight w:val="none"/>
                <w:lang w:val="en-US" w:eastAsia="zh-CN" w:bidi="ar"/>
              </w:rPr>
              <w:t>月</w:t>
            </w:r>
          </w:p>
        </w:tc>
      </w:tr>
      <w:tr w14:paraId="217FE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439" w:type="pct"/>
            <w:gridSpan w:val="3"/>
            <w:tcBorders>
              <w:tl2br w:val="nil"/>
              <w:tr2bl w:val="nil"/>
            </w:tcBorders>
            <w:noWrap/>
            <w:vAlign w:val="center"/>
          </w:tcPr>
          <w:p w14:paraId="0987CF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院区：</w:t>
            </w:r>
          </w:p>
        </w:tc>
        <w:tc>
          <w:tcPr>
            <w:tcW w:w="2252" w:type="pct"/>
            <w:tcBorders>
              <w:tl2br w:val="nil"/>
              <w:tr2bl w:val="nil"/>
            </w:tcBorders>
            <w:noWrap/>
            <w:vAlign w:val="center"/>
          </w:tcPr>
          <w:p w14:paraId="71DB76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评分人签名：</w:t>
            </w:r>
          </w:p>
        </w:tc>
        <w:tc>
          <w:tcPr>
            <w:tcW w:w="1307" w:type="pct"/>
            <w:gridSpan w:val="3"/>
            <w:tcBorders>
              <w:tl2br w:val="nil"/>
              <w:tr2bl w:val="nil"/>
            </w:tcBorders>
            <w:noWrap/>
            <w:vAlign w:val="center"/>
          </w:tcPr>
          <w:p w14:paraId="65B392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填表时间： 年 月  日</w:t>
            </w:r>
          </w:p>
        </w:tc>
      </w:tr>
      <w:tr w14:paraId="6AC1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29" w:type="pct"/>
            <w:tcBorders>
              <w:tl2br w:val="nil"/>
              <w:tr2bl w:val="nil"/>
            </w:tcBorders>
            <w:noWrap w:val="0"/>
            <w:vAlign w:val="center"/>
          </w:tcPr>
          <w:p w14:paraId="2F478F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方向</w:t>
            </w:r>
          </w:p>
        </w:tc>
        <w:tc>
          <w:tcPr>
            <w:tcW w:w="815" w:type="pct"/>
            <w:tcBorders>
              <w:tl2br w:val="nil"/>
              <w:tr2bl w:val="nil"/>
            </w:tcBorders>
            <w:noWrap w:val="0"/>
            <w:vAlign w:val="center"/>
          </w:tcPr>
          <w:p w14:paraId="4AE1B8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w:t>
            </w:r>
          </w:p>
        </w:tc>
        <w:tc>
          <w:tcPr>
            <w:tcW w:w="294" w:type="pct"/>
            <w:tcBorders>
              <w:tl2br w:val="nil"/>
              <w:tr2bl w:val="nil"/>
            </w:tcBorders>
            <w:noWrap w:val="0"/>
            <w:vAlign w:val="center"/>
          </w:tcPr>
          <w:p w14:paraId="2B6B34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2252" w:type="pct"/>
            <w:tcBorders>
              <w:tl2br w:val="nil"/>
              <w:tr2bl w:val="nil"/>
            </w:tcBorders>
            <w:noWrap w:val="0"/>
            <w:vAlign w:val="center"/>
          </w:tcPr>
          <w:p w14:paraId="0DF627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评分细则</w:t>
            </w:r>
          </w:p>
        </w:tc>
        <w:tc>
          <w:tcPr>
            <w:tcW w:w="461" w:type="pct"/>
            <w:tcBorders>
              <w:tl2br w:val="nil"/>
              <w:tr2bl w:val="nil"/>
            </w:tcBorders>
            <w:noWrap w:val="0"/>
            <w:vAlign w:val="center"/>
          </w:tcPr>
          <w:p w14:paraId="3253A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分值</w:t>
            </w:r>
          </w:p>
        </w:tc>
        <w:tc>
          <w:tcPr>
            <w:tcW w:w="353" w:type="pct"/>
            <w:tcBorders>
              <w:tl2br w:val="nil"/>
              <w:tr2bl w:val="nil"/>
            </w:tcBorders>
            <w:noWrap w:val="0"/>
            <w:vAlign w:val="center"/>
          </w:tcPr>
          <w:p w14:paraId="373E20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扣分</w:t>
            </w:r>
          </w:p>
        </w:tc>
        <w:tc>
          <w:tcPr>
            <w:tcW w:w="491" w:type="pct"/>
            <w:tcBorders>
              <w:tl2br w:val="nil"/>
              <w:tr2bl w:val="nil"/>
            </w:tcBorders>
            <w:noWrap w:val="0"/>
            <w:vAlign w:val="center"/>
          </w:tcPr>
          <w:p w14:paraId="2ED213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扣分原因</w:t>
            </w:r>
          </w:p>
        </w:tc>
      </w:tr>
      <w:tr w14:paraId="38FCA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329" w:type="pct"/>
            <w:vMerge w:val="restart"/>
            <w:tcBorders>
              <w:tl2br w:val="nil"/>
              <w:tr2bl w:val="nil"/>
            </w:tcBorders>
            <w:noWrap/>
            <w:textDirection w:val="tbRlV"/>
            <w:vAlign w:val="center"/>
          </w:tcPr>
          <w:p w14:paraId="59DD50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管理方面（30分）</w:t>
            </w:r>
          </w:p>
        </w:tc>
        <w:tc>
          <w:tcPr>
            <w:tcW w:w="815" w:type="pct"/>
            <w:tcBorders>
              <w:tl2br w:val="nil"/>
              <w:tr2bl w:val="nil"/>
            </w:tcBorders>
            <w:noWrap w:val="0"/>
            <w:vAlign w:val="center"/>
          </w:tcPr>
          <w:p w14:paraId="377B45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仪态仪表</w:t>
            </w:r>
          </w:p>
        </w:tc>
        <w:tc>
          <w:tcPr>
            <w:tcW w:w="294" w:type="pct"/>
            <w:tcBorders>
              <w:tl2br w:val="nil"/>
              <w:tr2bl w:val="nil"/>
            </w:tcBorders>
            <w:noWrap w:val="0"/>
            <w:vAlign w:val="center"/>
          </w:tcPr>
          <w:p w14:paraId="6574F361">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2252" w:type="pct"/>
            <w:tcBorders>
              <w:tl2br w:val="nil"/>
              <w:tr2bl w:val="nil"/>
            </w:tcBorders>
            <w:noWrap w:val="0"/>
            <w:vAlign w:val="center"/>
          </w:tcPr>
          <w:p w14:paraId="3BDED54A">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工作人员穿统一工装，佩戴工作证</w:t>
            </w:r>
          </w:p>
        </w:tc>
        <w:tc>
          <w:tcPr>
            <w:tcW w:w="461" w:type="pct"/>
            <w:vMerge w:val="restart"/>
            <w:tcBorders>
              <w:tl2br w:val="nil"/>
              <w:tr2bl w:val="nil"/>
            </w:tcBorders>
            <w:noWrap w:val="0"/>
            <w:vAlign w:val="center"/>
          </w:tcPr>
          <w:p w14:paraId="1DCBD1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每有一项不达标，扣3分</w:t>
            </w:r>
          </w:p>
        </w:tc>
        <w:tc>
          <w:tcPr>
            <w:tcW w:w="353" w:type="pct"/>
            <w:vMerge w:val="restart"/>
            <w:tcBorders>
              <w:tl2br w:val="nil"/>
              <w:tr2bl w:val="nil"/>
            </w:tcBorders>
            <w:noWrap w:val="0"/>
            <w:vAlign w:val="center"/>
          </w:tcPr>
          <w:p w14:paraId="5AC47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restart"/>
            <w:tcBorders>
              <w:tl2br w:val="nil"/>
              <w:tr2bl w:val="nil"/>
            </w:tcBorders>
            <w:noWrap w:val="0"/>
            <w:vAlign w:val="center"/>
          </w:tcPr>
          <w:p w14:paraId="36E952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092AD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trPr>
        <w:tc>
          <w:tcPr>
            <w:tcW w:w="329" w:type="pct"/>
            <w:vMerge w:val="continue"/>
            <w:tcBorders>
              <w:tl2br w:val="nil"/>
              <w:tr2bl w:val="nil"/>
            </w:tcBorders>
            <w:noWrap/>
            <w:textDirection w:val="tbRlV"/>
            <w:vAlign w:val="center"/>
          </w:tcPr>
          <w:p w14:paraId="1F088B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restart"/>
            <w:tcBorders>
              <w:tl2br w:val="nil"/>
              <w:tr2bl w:val="nil"/>
            </w:tcBorders>
            <w:noWrap w:val="0"/>
            <w:vAlign w:val="center"/>
          </w:tcPr>
          <w:p w14:paraId="70EFBF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服务态度</w:t>
            </w:r>
          </w:p>
        </w:tc>
        <w:tc>
          <w:tcPr>
            <w:tcW w:w="294" w:type="pct"/>
            <w:tcBorders>
              <w:tl2br w:val="nil"/>
              <w:tr2bl w:val="nil"/>
            </w:tcBorders>
            <w:noWrap w:val="0"/>
            <w:vAlign w:val="center"/>
          </w:tcPr>
          <w:p w14:paraId="228B687F">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252" w:type="pct"/>
            <w:tcBorders>
              <w:tl2br w:val="nil"/>
              <w:tr2bl w:val="nil"/>
            </w:tcBorders>
            <w:noWrap w:val="0"/>
            <w:vAlign w:val="center"/>
          </w:tcPr>
          <w:p w14:paraId="72836E92">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服务态度良好，行为规范，文明礼貌，无相关投诉及抱怨。</w:t>
            </w:r>
          </w:p>
        </w:tc>
        <w:tc>
          <w:tcPr>
            <w:tcW w:w="461" w:type="pct"/>
            <w:vMerge w:val="continue"/>
            <w:tcBorders>
              <w:tl2br w:val="nil"/>
              <w:tr2bl w:val="nil"/>
            </w:tcBorders>
            <w:noWrap w:val="0"/>
            <w:vAlign w:val="center"/>
          </w:tcPr>
          <w:p w14:paraId="469E61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586E0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7E029E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08106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trPr>
        <w:tc>
          <w:tcPr>
            <w:tcW w:w="329" w:type="pct"/>
            <w:vMerge w:val="continue"/>
            <w:tcBorders>
              <w:tl2br w:val="nil"/>
              <w:tr2bl w:val="nil"/>
            </w:tcBorders>
            <w:noWrap/>
            <w:textDirection w:val="tbRlV"/>
            <w:vAlign w:val="center"/>
          </w:tcPr>
          <w:p w14:paraId="231DE5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7016D9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2F42002A">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252" w:type="pct"/>
            <w:tcBorders>
              <w:tl2br w:val="nil"/>
              <w:tr2bl w:val="nil"/>
            </w:tcBorders>
            <w:noWrap w:val="0"/>
            <w:vAlign w:val="center"/>
          </w:tcPr>
          <w:p w14:paraId="06007C74">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按时提供服务</w:t>
            </w:r>
          </w:p>
        </w:tc>
        <w:tc>
          <w:tcPr>
            <w:tcW w:w="461" w:type="pct"/>
            <w:vMerge w:val="continue"/>
            <w:tcBorders>
              <w:tl2br w:val="nil"/>
              <w:tr2bl w:val="nil"/>
            </w:tcBorders>
            <w:noWrap w:val="0"/>
            <w:vAlign w:val="center"/>
          </w:tcPr>
          <w:p w14:paraId="2B7D9C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428A61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3BA283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371D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329" w:type="pct"/>
            <w:vMerge w:val="continue"/>
            <w:tcBorders>
              <w:tl2br w:val="nil"/>
              <w:tr2bl w:val="nil"/>
            </w:tcBorders>
            <w:noWrap/>
            <w:textDirection w:val="tbRlV"/>
            <w:vAlign w:val="center"/>
          </w:tcPr>
          <w:p w14:paraId="0AEBB2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tcBorders>
              <w:tl2br w:val="nil"/>
              <w:tr2bl w:val="nil"/>
            </w:tcBorders>
            <w:noWrap w:val="0"/>
            <w:vAlign w:val="center"/>
          </w:tcPr>
          <w:p w14:paraId="25EA01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人员安排</w:t>
            </w:r>
          </w:p>
        </w:tc>
        <w:tc>
          <w:tcPr>
            <w:tcW w:w="294" w:type="pct"/>
            <w:tcBorders>
              <w:tl2br w:val="nil"/>
              <w:tr2bl w:val="nil"/>
            </w:tcBorders>
            <w:noWrap w:val="0"/>
            <w:vAlign w:val="center"/>
          </w:tcPr>
          <w:p w14:paraId="61FB6ED1">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252" w:type="pct"/>
            <w:tcBorders>
              <w:tl2br w:val="nil"/>
              <w:tr2bl w:val="nil"/>
            </w:tcBorders>
            <w:noWrap w:val="0"/>
            <w:vAlign w:val="center"/>
          </w:tcPr>
          <w:p w14:paraId="07A2F8D0">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员工队伍稳定，能按要求配置相关人员，出现空缺时，能及时补充。</w:t>
            </w:r>
          </w:p>
        </w:tc>
        <w:tc>
          <w:tcPr>
            <w:tcW w:w="461" w:type="pct"/>
            <w:vMerge w:val="continue"/>
            <w:tcBorders>
              <w:tl2br w:val="nil"/>
              <w:tr2bl w:val="nil"/>
            </w:tcBorders>
            <w:noWrap w:val="0"/>
            <w:vAlign w:val="center"/>
          </w:tcPr>
          <w:p w14:paraId="09DB17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5C067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4DEA11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78EA8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329" w:type="pct"/>
            <w:vMerge w:val="continue"/>
            <w:tcBorders>
              <w:tl2br w:val="nil"/>
              <w:tr2bl w:val="nil"/>
            </w:tcBorders>
            <w:noWrap/>
            <w:textDirection w:val="tbRlV"/>
            <w:vAlign w:val="center"/>
          </w:tcPr>
          <w:p w14:paraId="65D0CF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tcBorders>
              <w:tl2br w:val="nil"/>
              <w:tr2bl w:val="nil"/>
            </w:tcBorders>
            <w:noWrap w:val="0"/>
            <w:vAlign w:val="center"/>
          </w:tcPr>
          <w:p w14:paraId="488EAA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上级单位检查结果</w:t>
            </w:r>
          </w:p>
        </w:tc>
        <w:tc>
          <w:tcPr>
            <w:tcW w:w="294" w:type="pct"/>
            <w:tcBorders>
              <w:tl2br w:val="nil"/>
              <w:tr2bl w:val="nil"/>
            </w:tcBorders>
            <w:noWrap w:val="0"/>
            <w:vAlign w:val="center"/>
          </w:tcPr>
          <w:p w14:paraId="12E15416">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252" w:type="pct"/>
            <w:tcBorders>
              <w:tl2br w:val="nil"/>
              <w:tr2bl w:val="nil"/>
            </w:tcBorders>
            <w:noWrap w:val="0"/>
            <w:vAlign w:val="center"/>
          </w:tcPr>
          <w:p w14:paraId="50EDED56">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配合医院做好各级相关检查工作</w:t>
            </w:r>
          </w:p>
        </w:tc>
        <w:tc>
          <w:tcPr>
            <w:tcW w:w="461" w:type="pct"/>
            <w:vMerge w:val="continue"/>
            <w:tcBorders>
              <w:tl2br w:val="nil"/>
              <w:tr2bl w:val="nil"/>
            </w:tcBorders>
            <w:noWrap w:val="0"/>
            <w:vAlign w:val="center"/>
          </w:tcPr>
          <w:p w14:paraId="1E38CA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448923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2185F4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78F8A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329" w:type="pct"/>
            <w:vMerge w:val="restart"/>
            <w:tcBorders>
              <w:tl2br w:val="nil"/>
              <w:tr2bl w:val="nil"/>
            </w:tcBorders>
            <w:noWrap/>
            <w:textDirection w:val="tbRlV"/>
            <w:vAlign w:val="center"/>
          </w:tcPr>
          <w:p w14:paraId="321FA1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服务质量方面（70分）</w:t>
            </w:r>
          </w:p>
        </w:tc>
        <w:tc>
          <w:tcPr>
            <w:tcW w:w="815" w:type="pct"/>
            <w:vMerge w:val="restart"/>
            <w:tcBorders>
              <w:tl2br w:val="nil"/>
              <w:tr2bl w:val="nil"/>
            </w:tcBorders>
            <w:noWrap w:val="0"/>
            <w:vAlign w:val="center"/>
          </w:tcPr>
          <w:p w14:paraId="188360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服务质量</w:t>
            </w:r>
          </w:p>
        </w:tc>
        <w:tc>
          <w:tcPr>
            <w:tcW w:w="294" w:type="pct"/>
            <w:tcBorders>
              <w:tl2br w:val="nil"/>
              <w:tr2bl w:val="nil"/>
            </w:tcBorders>
            <w:noWrap w:val="0"/>
            <w:vAlign w:val="center"/>
          </w:tcPr>
          <w:p w14:paraId="35418F13">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252" w:type="pct"/>
            <w:tcBorders>
              <w:tl2br w:val="nil"/>
              <w:tr2bl w:val="nil"/>
            </w:tcBorders>
            <w:noWrap w:val="0"/>
            <w:vAlign w:val="center"/>
          </w:tcPr>
          <w:p w14:paraId="7D0FD449">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作业记录表符合要求</w:t>
            </w:r>
          </w:p>
        </w:tc>
        <w:tc>
          <w:tcPr>
            <w:tcW w:w="461" w:type="pct"/>
            <w:vMerge w:val="restart"/>
            <w:tcBorders>
              <w:tl2br w:val="nil"/>
              <w:tr2bl w:val="nil"/>
            </w:tcBorders>
            <w:shd w:val="clear" w:color="auto" w:fill="auto"/>
            <w:noWrap w:val="0"/>
            <w:vAlign w:val="center"/>
          </w:tcPr>
          <w:p w14:paraId="04F57B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每有一项不达标，扣5分</w:t>
            </w:r>
          </w:p>
        </w:tc>
        <w:tc>
          <w:tcPr>
            <w:tcW w:w="353" w:type="pct"/>
            <w:vMerge w:val="restart"/>
            <w:tcBorders>
              <w:tl2br w:val="nil"/>
              <w:tr2bl w:val="nil"/>
            </w:tcBorders>
            <w:shd w:val="clear" w:color="auto" w:fill="auto"/>
            <w:noWrap w:val="0"/>
            <w:vAlign w:val="center"/>
          </w:tcPr>
          <w:p w14:paraId="22B96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eastAsia="zh-CN" w:bidi="ar-SA"/>
              </w:rPr>
            </w:pPr>
          </w:p>
        </w:tc>
        <w:tc>
          <w:tcPr>
            <w:tcW w:w="491" w:type="pct"/>
            <w:vMerge w:val="restart"/>
            <w:tcBorders>
              <w:tl2br w:val="nil"/>
              <w:tr2bl w:val="nil"/>
            </w:tcBorders>
            <w:noWrap w:val="0"/>
            <w:vAlign w:val="center"/>
          </w:tcPr>
          <w:p w14:paraId="0B0452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DFBE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trPr>
        <w:tc>
          <w:tcPr>
            <w:tcW w:w="329" w:type="pct"/>
            <w:vMerge w:val="continue"/>
            <w:tcBorders>
              <w:tl2br w:val="nil"/>
              <w:tr2bl w:val="nil"/>
            </w:tcBorders>
            <w:noWrap/>
            <w:textDirection w:val="tbRlV"/>
            <w:vAlign w:val="center"/>
          </w:tcPr>
          <w:p w14:paraId="334B5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04CCAD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04420103">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252" w:type="pct"/>
            <w:tcBorders>
              <w:tl2br w:val="nil"/>
              <w:tr2bl w:val="nil"/>
            </w:tcBorders>
            <w:noWrap w:val="0"/>
            <w:vAlign w:val="center"/>
          </w:tcPr>
          <w:p w14:paraId="34780E5B">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作业时间符合要求</w:t>
            </w:r>
          </w:p>
        </w:tc>
        <w:tc>
          <w:tcPr>
            <w:tcW w:w="461" w:type="pct"/>
            <w:vMerge w:val="continue"/>
            <w:tcBorders>
              <w:tl2br w:val="nil"/>
              <w:tr2bl w:val="nil"/>
            </w:tcBorders>
            <w:noWrap w:val="0"/>
            <w:vAlign w:val="center"/>
          </w:tcPr>
          <w:p w14:paraId="29BF5F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DD709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8C8B0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1378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329" w:type="pct"/>
            <w:vMerge w:val="continue"/>
            <w:tcBorders>
              <w:tl2br w:val="nil"/>
              <w:tr2bl w:val="nil"/>
            </w:tcBorders>
            <w:noWrap/>
            <w:textDirection w:val="tbRlV"/>
            <w:vAlign w:val="center"/>
          </w:tcPr>
          <w:p w14:paraId="6127BE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4FE45B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62CEE541">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252" w:type="pct"/>
            <w:tcBorders>
              <w:tl2br w:val="nil"/>
              <w:tr2bl w:val="nil"/>
            </w:tcBorders>
            <w:noWrap w:val="0"/>
            <w:vAlign w:val="center"/>
          </w:tcPr>
          <w:p w14:paraId="7473EE91">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安全作业符合要求</w:t>
            </w:r>
          </w:p>
        </w:tc>
        <w:tc>
          <w:tcPr>
            <w:tcW w:w="461" w:type="pct"/>
            <w:vMerge w:val="continue"/>
            <w:tcBorders>
              <w:tl2br w:val="nil"/>
              <w:tr2bl w:val="nil"/>
            </w:tcBorders>
            <w:noWrap w:val="0"/>
            <w:vAlign w:val="center"/>
          </w:tcPr>
          <w:p w14:paraId="35AD5E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5E7FAD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142BED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9571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329" w:type="pct"/>
            <w:vMerge w:val="continue"/>
            <w:tcBorders>
              <w:tl2br w:val="nil"/>
              <w:tr2bl w:val="nil"/>
            </w:tcBorders>
            <w:noWrap/>
            <w:textDirection w:val="tbRlV"/>
            <w:vAlign w:val="center"/>
          </w:tcPr>
          <w:p w14:paraId="3FD094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5974C0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6C816295">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252" w:type="pct"/>
            <w:tcBorders>
              <w:tl2br w:val="nil"/>
              <w:tr2bl w:val="nil"/>
            </w:tcBorders>
            <w:noWrap w:val="0"/>
            <w:vAlign w:val="center"/>
          </w:tcPr>
          <w:p w14:paraId="0C70AF24">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垃圾收集点卫生整洁，垃圾桶摆放整齐</w:t>
            </w:r>
          </w:p>
        </w:tc>
        <w:tc>
          <w:tcPr>
            <w:tcW w:w="461" w:type="pct"/>
            <w:vMerge w:val="continue"/>
            <w:tcBorders>
              <w:tl2br w:val="nil"/>
              <w:tr2bl w:val="nil"/>
            </w:tcBorders>
            <w:noWrap w:val="0"/>
            <w:vAlign w:val="center"/>
          </w:tcPr>
          <w:p w14:paraId="72443B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7C9C9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BCD3C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FAC3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rPr>
        <w:tc>
          <w:tcPr>
            <w:tcW w:w="329" w:type="pct"/>
            <w:vMerge w:val="continue"/>
            <w:tcBorders>
              <w:tl2br w:val="nil"/>
              <w:tr2bl w:val="nil"/>
            </w:tcBorders>
            <w:noWrap/>
            <w:textDirection w:val="tbRlV"/>
            <w:vAlign w:val="center"/>
          </w:tcPr>
          <w:p w14:paraId="371FD4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7928A4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3EDFF657">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252" w:type="pct"/>
            <w:tcBorders>
              <w:tl2br w:val="nil"/>
              <w:tr2bl w:val="nil"/>
            </w:tcBorders>
            <w:noWrap w:val="0"/>
            <w:vAlign w:val="center"/>
          </w:tcPr>
          <w:p w14:paraId="40BF2F93">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中转站内的日常卫生清洁工作和管理，场内卫生整齐、干净</w:t>
            </w:r>
          </w:p>
        </w:tc>
        <w:tc>
          <w:tcPr>
            <w:tcW w:w="461" w:type="pct"/>
            <w:vMerge w:val="continue"/>
            <w:tcBorders>
              <w:tl2br w:val="nil"/>
              <w:tr2bl w:val="nil"/>
            </w:tcBorders>
            <w:noWrap w:val="0"/>
            <w:vAlign w:val="center"/>
          </w:tcPr>
          <w:p w14:paraId="53CA9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7AF2C5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0061CC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D4F1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1" w:hRule="atLeast"/>
        </w:trPr>
        <w:tc>
          <w:tcPr>
            <w:tcW w:w="329" w:type="pct"/>
            <w:vMerge w:val="continue"/>
            <w:tcBorders>
              <w:tl2br w:val="nil"/>
              <w:tr2bl w:val="nil"/>
            </w:tcBorders>
            <w:noWrap/>
            <w:textDirection w:val="tbRlV"/>
            <w:vAlign w:val="center"/>
          </w:tcPr>
          <w:p w14:paraId="2F73EA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6E86F2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3BC7FA09">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2252" w:type="pct"/>
            <w:tcBorders>
              <w:tl2br w:val="nil"/>
              <w:tr2bl w:val="nil"/>
            </w:tcBorders>
            <w:noWrap w:val="0"/>
            <w:vAlign w:val="center"/>
          </w:tcPr>
          <w:p w14:paraId="29F3D46B">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未发生偷倒、乱倒废弃物，二次污染、破坏环境的非法行为</w:t>
            </w:r>
          </w:p>
        </w:tc>
        <w:tc>
          <w:tcPr>
            <w:tcW w:w="461" w:type="pct"/>
            <w:vMerge w:val="continue"/>
            <w:tcBorders>
              <w:tl2br w:val="nil"/>
              <w:tr2bl w:val="nil"/>
            </w:tcBorders>
            <w:noWrap w:val="0"/>
            <w:vAlign w:val="center"/>
          </w:tcPr>
          <w:p w14:paraId="00A556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77C99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54729A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5F180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329" w:type="pct"/>
            <w:vMerge w:val="continue"/>
            <w:tcBorders>
              <w:tl2br w:val="nil"/>
              <w:tr2bl w:val="nil"/>
            </w:tcBorders>
            <w:noWrap/>
            <w:textDirection w:val="tbRlV"/>
            <w:vAlign w:val="center"/>
          </w:tcPr>
          <w:p w14:paraId="57FC56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6A5F6D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20274625">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252" w:type="pct"/>
            <w:tcBorders>
              <w:tl2br w:val="nil"/>
              <w:tr2bl w:val="nil"/>
            </w:tcBorders>
            <w:noWrap w:val="0"/>
            <w:vAlign w:val="center"/>
          </w:tcPr>
          <w:p w14:paraId="7E7961F5">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作业车辆无垃圾外露、无残余物外挂、无污水滴漏</w:t>
            </w:r>
          </w:p>
        </w:tc>
        <w:tc>
          <w:tcPr>
            <w:tcW w:w="461" w:type="pct"/>
            <w:vMerge w:val="continue"/>
            <w:tcBorders>
              <w:tl2br w:val="nil"/>
              <w:tr2bl w:val="nil"/>
            </w:tcBorders>
            <w:noWrap w:val="0"/>
            <w:vAlign w:val="center"/>
          </w:tcPr>
          <w:p w14:paraId="63F720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2EB99F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9F591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7EADB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329" w:type="pct"/>
            <w:vMerge w:val="continue"/>
            <w:tcBorders>
              <w:tl2br w:val="nil"/>
              <w:tr2bl w:val="nil"/>
            </w:tcBorders>
            <w:noWrap/>
            <w:textDirection w:val="tbRlV"/>
            <w:vAlign w:val="center"/>
          </w:tcPr>
          <w:p w14:paraId="52226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11FFE6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0076A9B8">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252" w:type="pct"/>
            <w:tcBorders>
              <w:tl2br w:val="nil"/>
              <w:tr2bl w:val="nil"/>
            </w:tcBorders>
            <w:noWrap w:val="0"/>
            <w:vAlign w:val="center"/>
          </w:tcPr>
          <w:p w14:paraId="79A789CD">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废弃物分类符合要求</w:t>
            </w:r>
          </w:p>
        </w:tc>
        <w:tc>
          <w:tcPr>
            <w:tcW w:w="461" w:type="pct"/>
            <w:vMerge w:val="continue"/>
            <w:tcBorders>
              <w:tl2br w:val="nil"/>
              <w:tr2bl w:val="nil"/>
            </w:tcBorders>
            <w:noWrap w:val="0"/>
            <w:vAlign w:val="center"/>
          </w:tcPr>
          <w:p w14:paraId="4F66E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5F022F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78501C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29F7D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5" w:hRule="atLeast"/>
        </w:trPr>
        <w:tc>
          <w:tcPr>
            <w:tcW w:w="3692" w:type="pct"/>
            <w:gridSpan w:val="4"/>
            <w:tcBorders>
              <w:tl2br w:val="nil"/>
              <w:tr2bl w:val="nil"/>
            </w:tcBorders>
            <w:shd w:val="clear" w:color="auto" w:fill="auto"/>
            <w:noWrap/>
            <w:vAlign w:val="center"/>
          </w:tcPr>
          <w:p w14:paraId="73FEFE2A">
            <w:pPr>
              <w:pStyle w:val="5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951" w:firstLineChars="1400"/>
              <w:jc w:val="both"/>
              <w:textAlignment w:val="auto"/>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color w:val="auto"/>
                <w:sz w:val="21"/>
                <w:szCs w:val="21"/>
                <w:highlight w:val="none"/>
                <w:lang w:val="en-US" w:eastAsia="zh-CN"/>
              </w:rPr>
              <w:t>总得分：</w:t>
            </w:r>
          </w:p>
        </w:tc>
        <w:tc>
          <w:tcPr>
            <w:tcW w:w="1307" w:type="pct"/>
            <w:gridSpan w:val="3"/>
            <w:tcBorders>
              <w:tl2br w:val="nil"/>
              <w:tr2bl w:val="nil"/>
            </w:tcBorders>
            <w:shd w:val="clear" w:color="auto" w:fill="A6A6A6"/>
            <w:noWrap/>
            <w:vAlign w:val="center"/>
          </w:tcPr>
          <w:p w14:paraId="30299F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012B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5000" w:type="pct"/>
            <w:gridSpan w:val="7"/>
            <w:tcBorders>
              <w:tl2br w:val="nil"/>
              <w:tr2bl w:val="nil"/>
            </w:tcBorders>
            <w:noWrap w:val="0"/>
            <w:vAlign w:val="center"/>
          </w:tcPr>
          <w:p w14:paraId="5AE1CB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填表说明：</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1、本表由总务科人员填写。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2、如收到投诉，后勤部核实为有效投诉的，在本表部分扣分，每次3分，上不封顶。</w:t>
            </w:r>
          </w:p>
        </w:tc>
      </w:tr>
    </w:tbl>
    <w:p w14:paraId="5DAC2B17">
      <w:pPr>
        <w:pStyle w:val="48"/>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eastAsia="宋体" w:cs="宋体"/>
          <w:b/>
          <w:color w:val="auto"/>
          <w:sz w:val="21"/>
          <w:szCs w:val="21"/>
          <w:highlight w:val="none"/>
        </w:rPr>
      </w:pPr>
    </w:p>
    <w:p w14:paraId="50E8BEDE">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ind w:firstLine="422" w:firstLineChars="200"/>
        <w:jc w:val="both"/>
        <w:textAlignment w:val="auto"/>
        <w:outlineLvl w:val="1"/>
        <w:rPr>
          <w:rFonts w:hint="eastAsia" w:ascii="宋体" w:hAnsi="宋体" w:eastAsia="宋体" w:cs="宋体"/>
          <w:strike/>
          <w:color w:val="auto"/>
          <w:spacing w:val="4"/>
          <w:kern w:val="2"/>
          <w:sz w:val="21"/>
          <w:szCs w:val="21"/>
          <w:highlight w:val="none"/>
          <w:lang w:val="en-US" w:eastAsia="zh-CN" w:bidi="ar-SA"/>
        </w:rPr>
      </w:pPr>
      <w:bookmarkStart w:id="1242" w:name="_Toc30944"/>
      <w:r>
        <w:rPr>
          <w:rFonts w:hint="default" w:ascii="宋体" w:hAnsi="宋体" w:eastAsia="宋体" w:cs="宋体"/>
          <w:b/>
          <w:color w:val="auto"/>
          <w:sz w:val="21"/>
          <w:szCs w:val="21"/>
          <w:highlight w:val="none"/>
          <w:lang w:val="en-US" w:eastAsia="zh-CN"/>
        </w:rPr>
        <w:t>四</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结算方式与要求</w:t>
      </w:r>
      <w:bookmarkEnd w:id="1242"/>
    </w:p>
    <w:p w14:paraId="25935BB4">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ind w:firstLine="436" w:firstLineChars="200"/>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1243" w:name="_Toc9667"/>
      <w:r>
        <w:rPr>
          <w:rFonts w:hint="eastAsia" w:ascii="宋体" w:hAnsi="宋体" w:cs="宋体"/>
          <w:color w:val="auto"/>
          <w:spacing w:val="4"/>
          <w:kern w:val="2"/>
          <w:sz w:val="21"/>
          <w:szCs w:val="21"/>
          <w:highlight w:val="none"/>
          <w:lang w:val="en-US" w:eastAsia="zh-CN" w:bidi="ar-SA"/>
        </w:rPr>
        <w:t>1、</w:t>
      </w:r>
      <w:r>
        <w:rPr>
          <w:rFonts w:hint="eastAsia" w:ascii="宋体" w:hAnsi="宋体" w:eastAsia="宋体" w:cs="宋体"/>
          <w:color w:val="auto"/>
          <w:spacing w:val="4"/>
          <w:kern w:val="2"/>
          <w:sz w:val="21"/>
          <w:szCs w:val="21"/>
          <w:highlight w:val="none"/>
          <w:lang w:val="en-US" w:eastAsia="zh-CN" w:bidi="ar-SA"/>
        </w:rPr>
        <w:t>结算方式：采用银行转账。</w:t>
      </w:r>
      <w:bookmarkEnd w:id="1243"/>
    </w:p>
    <w:p w14:paraId="0E22889B">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ind w:firstLine="436" w:firstLineChars="200"/>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1244" w:name="_Toc9768"/>
      <w:r>
        <w:rPr>
          <w:rFonts w:hint="eastAsia" w:ascii="宋体" w:hAnsi="宋体" w:cs="宋体"/>
          <w:color w:val="auto"/>
          <w:spacing w:val="4"/>
          <w:kern w:val="2"/>
          <w:sz w:val="21"/>
          <w:szCs w:val="21"/>
          <w:highlight w:val="none"/>
          <w:lang w:val="en-US" w:eastAsia="zh-CN" w:bidi="ar-SA"/>
        </w:rPr>
        <w:t>2、</w:t>
      </w:r>
      <w:r>
        <w:rPr>
          <w:rFonts w:hint="eastAsia" w:ascii="宋体" w:hAnsi="宋体" w:eastAsia="宋体" w:cs="宋体"/>
          <w:color w:val="auto"/>
          <w:spacing w:val="4"/>
          <w:kern w:val="2"/>
          <w:sz w:val="21"/>
          <w:szCs w:val="21"/>
          <w:highlight w:val="none"/>
          <w:lang w:val="en-US" w:eastAsia="zh-CN" w:bidi="ar-SA"/>
        </w:rPr>
        <w:t>结算要求：</w:t>
      </w:r>
      <w:bookmarkEnd w:id="1244"/>
    </w:p>
    <w:p w14:paraId="17C4D91A">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ind w:firstLine="436" w:firstLineChars="200"/>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1245" w:name="_Toc5048"/>
      <w:r>
        <w:rPr>
          <w:rFonts w:hint="eastAsia" w:ascii="宋体" w:hAnsi="宋体" w:cs="宋体"/>
          <w:color w:val="auto"/>
          <w:spacing w:val="4"/>
          <w:kern w:val="2"/>
          <w:sz w:val="21"/>
          <w:szCs w:val="21"/>
          <w:highlight w:val="none"/>
          <w:lang w:val="en-US" w:eastAsia="zh-CN" w:bidi="ar-SA"/>
        </w:rPr>
        <w:t>（1）甲方</w:t>
      </w:r>
      <w:r>
        <w:rPr>
          <w:rFonts w:hint="eastAsia" w:ascii="宋体" w:hAnsi="宋体" w:eastAsia="宋体" w:cs="宋体"/>
          <w:color w:val="auto"/>
          <w:spacing w:val="4"/>
          <w:kern w:val="2"/>
          <w:sz w:val="21"/>
          <w:szCs w:val="21"/>
          <w:highlight w:val="none"/>
          <w:lang w:val="en-US" w:eastAsia="zh-CN" w:bidi="ar-SA"/>
        </w:rPr>
        <w:t>每月根据项目验收要求，结合每月度质量考评情况，核准</w:t>
      </w:r>
      <w:r>
        <w:rPr>
          <w:rFonts w:hint="eastAsia" w:ascii="宋体" w:hAnsi="宋体" w:cs="宋体"/>
          <w:color w:val="auto"/>
          <w:spacing w:val="4"/>
          <w:kern w:val="2"/>
          <w:sz w:val="21"/>
          <w:szCs w:val="21"/>
          <w:highlight w:val="none"/>
          <w:lang w:val="en-US" w:eastAsia="zh-CN" w:bidi="ar-SA"/>
        </w:rPr>
        <w:t>乙方</w:t>
      </w:r>
      <w:r>
        <w:rPr>
          <w:rFonts w:hint="eastAsia" w:ascii="宋体" w:hAnsi="宋体" w:eastAsia="宋体" w:cs="宋体"/>
          <w:color w:val="auto"/>
          <w:spacing w:val="4"/>
          <w:kern w:val="2"/>
          <w:sz w:val="21"/>
          <w:szCs w:val="21"/>
          <w:highlight w:val="none"/>
          <w:lang w:val="en-US" w:eastAsia="zh-CN" w:bidi="ar-SA"/>
        </w:rPr>
        <w:t>当月服务费用，</w:t>
      </w:r>
      <w:r>
        <w:rPr>
          <w:rFonts w:hint="eastAsia" w:ascii="宋体" w:hAnsi="宋体" w:cs="宋体"/>
          <w:color w:val="auto"/>
          <w:spacing w:val="4"/>
          <w:kern w:val="2"/>
          <w:sz w:val="21"/>
          <w:szCs w:val="21"/>
          <w:highlight w:val="none"/>
          <w:lang w:val="en-US" w:eastAsia="zh-CN" w:bidi="ar-SA"/>
        </w:rPr>
        <w:t>乙方</w:t>
      </w:r>
      <w:r>
        <w:rPr>
          <w:rFonts w:hint="eastAsia" w:ascii="宋体" w:hAnsi="宋体" w:eastAsia="宋体" w:cs="宋体"/>
          <w:color w:val="auto"/>
          <w:spacing w:val="4"/>
          <w:kern w:val="2"/>
          <w:sz w:val="21"/>
          <w:szCs w:val="21"/>
          <w:highlight w:val="none"/>
          <w:lang w:val="en-US" w:eastAsia="zh-CN" w:bidi="ar-SA"/>
        </w:rPr>
        <w:t>据此开具正式发票。</w:t>
      </w:r>
      <w:bookmarkEnd w:id="1245"/>
    </w:p>
    <w:p w14:paraId="1AF5BBC1">
      <w:pPr>
        <w:pStyle w:val="48"/>
        <w:keepNext w:val="0"/>
        <w:keepLines w:val="0"/>
        <w:pageBreakBefore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每月结算合同款项，</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每月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日前向</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提交结算资料，</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收到结算资料确认无误后5个工作日内开始办理支付手续。</w:t>
      </w:r>
    </w:p>
    <w:p w14:paraId="77F64B2D">
      <w:pPr>
        <w:pStyle w:val="64"/>
        <w:keepNext w:val="0"/>
        <w:keepLines w:val="0"/>
        <w:pageBreakBefore w:val="0"/>
        <w:widowControl w:val="0"/>
        <w:numPr>
          <w:ilvl w:val="0"/>
          <w:numId w:val="0"/>
        </w:numPr>
        <w:tabs>
          <w:tab w:val="left" w:pos="420"/>
        </w:tabs>
        <w:kinsoku/>
        <w:wordWrap/>
        <w:overflowPunct/>
        <w:topLinePunct w:val="0"/>
        <w:bidi w:val="0"/>
        <w:adjustRightInd/>
        <w:snapToGrid/>
        <w:spacing w:after="0" w:line="360" w:lineRule="auto"/>
        <w:ind w:firstLine="420" w:firstLineChars="200"/>
        <w:jc w:val="both"/>
        <w:textAlignment w:val="auto"/>
        <w:outlineLvl w:val="1"/>
        <w:rPr>
          <w:rFonts w:hint="eastAsia" w:ascii="宋体" w:hAnsi="宋体" w:eastAsia="宋体" w:cs="宋体"/>
          <w:color w:val="auto"/>
          <w:spacing w:val="4"/>
          <w:kern w:val="2"/>
          <w:sz w:val="21"/>
          <w:szCs w:val="21"/>
          <w:highlight w:val="none"/>
          <w:lang w:val="en-US" w:eastAsia="zh-CN" w:bidi="ar-SA"/>
        </w:rPr>
      </w:pPr>
      <w:bookmarkStart w:id="1246" w:name="_Toc13051"/>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每次结算合同费用，</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需凭以下资料与</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结算：</w:t>
      </w:r>
      <w:bookmarkEnd w:id="1246"/>
    </w:p>
    <w:p w14:paraId="00BD4ED2">
      <w:pPr>
        <w:pStyle w:val="48"/>
        <w:keepNext w:val="0"/>
        <w:keepLines w:val="0"/>
        <w:pageBreakBefore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eastAsia="zh-CN"/>
        </w:rPr>
        <w:t>首次结算，提供原件</w:t>
      </w:r>
      <w:r>
        <w:rPr>
          <w:rFonts w:hint="eastAsia" w:ascii="宋体" w:hAnsi="宋体" w:eastAsia="宋体" w:cs="宋体"/>
          <w:color w:val="auto"/>
          <w:sz w:val="21"/>
          <w:szCs w:val="21"/>
          <w:highlight w:val="none"/>
        </w:rPr>
        <w:t>）；</w:t>
      </w:r>
    </w:p>
    <w:p w14:paraId="2C58365F">
      <w:pPr>
        <w:pStyle w:val="48"/>
        <w:keepNext w:val="0"/>
        <w:keepLines w:val="0"/>
        <w:pageBreakBefore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2）中选（成交）</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eastAsia="zh-CN"/>
        </w:rPr>
        <w:t>复印件</w:t>
      </w:r>
      <w:r>
        <w:rPr>
          <w:rFonts w:hint="eastAsia" w:ascii="宋体" w:hAnsi="宋体" w:eastAsia="宋体" w:cs="宋体"/>
          <w:color w:val="auto"/>
          <w:sz w:val="21"/>
          <w:szCs w:val="21"/>
          <w:highlight w:val="none"/>
        </w:rPr>
        <w:t>；</w:t>
      </w:r>
    </w:p>
    <w:p w14:paraId="4816577B">
      <w:pPr>
        <w:pStyle w:val="48"/>
        <w:keepNext w:val="0"/>
        <w:keepLines w:val="0"/>
        <w:pageBreakBefore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开具的正式发票</w:t>
      </w:r>
      <w:r>
        <w:rPr>
          <w:rFonts w:hint="eastAsia" w:ascii="宋体" w:hAnsi="宋体" w:eastAsia="宋体" w:cs="宋体"/>
          <w:color w:val="auto"/>
          <w:sz w:val="21"/>
          <w:szCs w:val="21"/>
          <w:highlight w:val="none"/>
          <w:lang w:eastAsia="zh-CN"/>
        </w:rPr>
        <w:t>（开票人及收款信息与合同一致）</w:t>
      </w:r>
      <w:r>
        <w:rPr>
          <w:rFonts w:hint="eastAsia" w:ascii="宋体" w:hAnsi="宋体" w:eastAsia="宋体" w:cs="宋体"/>
          <w:color w:val="auto"/>
          <w:sz w:val="21"/>
          <w:szCs w:val="21"/>
          <w:highlight w:val="none"/>
        </w:rPr>
        <w:t>；</w:t>
      </w:r>
    </w:p>
    <w:p w14:paraId="403938F6">
      <w:pPr>
        <w:keepNext w:val="0"/>
        <w:keepLines w:val="0"/>
        <w:pageBreakBefore w:val="0"/>
        <w:kinsoku/>
        <w:wordWrap/>
        <w:overflowPunct/>
        <w:topLinePunct w:val="0"/>
        <w:bidi w:val="0"/>
        <w:adjustRightInd/>
        <w:snapToGrid/>
        <w:spacing w:line="360" w:lineRule="auto"/>
        <w:ind w:left="0" w:firstLine="436"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4）</w:t>
      </w:r>
      <w:r>
        <w:rPr>
          <w:rFonts w:hint="eastAsia" w:cs="宋体"/>
          <w:color w:val="auto"/>
          <w:kern w:val="0"/>
          <w:sz w:val="21"/>
          <w:szCs w:val="21"/>
          <w:highlight w:val="none"/>
          <w:lang w:val="en-US" w:eastAsia="zh-CN" w:bidi="ar-SA"/>
        </w:rPr>
        <w:t>作业记录汇总表（作业期限、垃圾数量（单位：桶）、经甲方需求管理部门签名）</w:t>
      </w:r>
      <w:r>
        <w:rPr>
          <w:rFonts w:hint="eastAsia" w:ascii="宋体" w:hAnsi="宋体" w:eastAsia="宋体" w:cs="宋体"/>
          <w:color w:val="auto"/>
          <w:spacing w:val="4"/>
          <w:kern w:val="2"/>
          <w:sz w:val="21"/>
          <w:szCs w:val="21"/>
          <w:highlight w:val="none"/>
          <w:lang w:val="en-US" w:eastAsia="zh-CN" w:bidi="ar-SA"/>
        </w:rPr>
        <w:t>;</w:t>
      </w:r>
    </w:p>
    <w:p w14:paraId="0B2175EC">
      <w:pPr>
        <w:keepNext w:val="0"/>
        <w:keepLines w:val="0"/>
        <w:pageBreakBefore w:val="0"/>
        <w:numPr>
          <w:ilvl w:val="0"/>
          <w:numId w:val="0"/>
        </w:numPr>
        <w:kinsoku/>
        <w:wordWrap/>
        <w:overflowPunct/>
        <w:topLinePunct w:val="0"/>
        <w:bidi w:val="0"/>
        <w:adjustRightInd/>
        <w:snapToGrid/>
        <w:spacing w:line="360" w:lineRule="auto"/>
        <w:ind w:left="0" w:firstLine="436"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5）经</w:t>
      </w:r>
      <w:r>
        <w:rPr>
          <w:rFonts w:hint="eastAsia" w:ascii="宋体" w:hAnsi="宋体" w:cs="宋体"/>
          <w:color w:val="auto"/>
          <w:spacing w:val="4"/>
          <w:kern w:val="2"/>
          <w:sz w:val="21"/>
          <w:szCs w:val="21"/>
          <w:highlight w:val="none"/>
          <w:lang w:val="en-US" w:eastAsia="zh-CN" w:bidi="ar-SA"/>
        </w:rPr>
        <w:t>甲方</w:t>
      </w:r>
      <w:r>
        <w:rPr>
          <w:rFonts w:hint="eastAsia" w:ascii="宋体" w:hAnsi="宋体" w:eastAsia="宋体" w:cs="宋体"/>
          <w:color w:val="auto"/>
          <w:spacing w:val="4"/>
          <w:kern w:val="2"/>
          <w:sz w:val="21"/>
          <w:szCs w:val="21"/>
          <w:highlight w:val="none"/>
          <w:lang w:val="en-US" w:eastAsia="zh-CN" w:bidi="ar-SA"/>
        </w:rPr>
        <w:t>需求管理部门签名确认的月度质量满意度评分表；</w:t>
      </w:r>
    </w:p>
    <w:p w14:paraId="334FD6CD">
      <w:pPr>
        <w:keepNext w:val="0"/>
        <w:keepLines w:val="0"/>
        <w:pageBreakBefore w:val="0"/>
        <w:numPr>
          <w:ilvl w:val="0"/>
          <w:numId w:val="0"/>
        </w:numPr>
        <w:kinsoku/>
        <w:wordWrap/>
        <w:overflowPunct/>
        <w:topLinePunct w:val="0"/>
        <w:bidi w:val="0"/>
        <w:adjustRightInd/>
        <w:snapToGrid/>
        <w:spacing w:line="360" w:lineRule="auto"/>
        <w:ind w:left="0" w:firstLine="436" w:firstLineChars="200"/>
        <w:jc w:val="both"/>
        <w:textAlignment w:val="auto"/>
        <w:rPr>
          <w:rFonts w:hint="eastAsia" w:ascii="宋体" w:hAnsi="宋体" w:eastAsia="宋体" w:cs="宋体"/>
          <w:b w:val="0"/>
          <w:bCs w:val="0"/>
          <w:color w:val="auto"/>
          <w:spacing w:val="4"/>
          <w:kern w:val="2"/>
          <w:sz w:val="21"/>
          <w:szCs w:val="21"/>
          <w:highlight w:val="none"/>
          <w:lang w:val="en-US" w:eastAsia="zh-CN" w:bidi="ar-SA"/>
        </w:rPr>
      </w:pPr>
      <w:r>
        <w:rPr>
          <w:rFonts w:hint="eastAsia" w:ascii="宋体" w:hAnsi="宋体" w:eastAsia="宋体" w:cs="宋体"/>
          <w:b w:val="0"/>
          <w:bCs w:val="0"/>
          <w:color w:val="auto"/>
          <w:spacing w:val="4"/>
          <w:kern w:val="2"/>
          <w:sz w:val="21"/>
          <w:szCs w:val="21"/>
          <w:highlight w:val="none"/>
          <w:lang w:val="en-US" w:eastAsia="zh-CN" w:bidi="ar-SA"/>
        </w:rPr>
        <w:t>6）</w:t>
      </w:r>
      <w:r>
        <w:rPr>
          <w:rFonts w:hint="eastAsia" w:ascii="宋体" w:hAnsi="宋体" w:eastAsia="宋体" w:cs="宋体"/>
          <w:b w:val="0"/>
          <w:bCs w:val="0"/>
          <w:color w:val="auto"/>
          <w:sz w:val="21"/>
          <w:szCs w:val="21"/>
          <w:highlight w:val="none"/>
        </w:rPr>
        <w:t>履约保证金凭证（首次结算提供）</w:t>
      </w:r>
      <w:r>
        <w:rPr>
          <w:rFonts w:hint="eastAsia" w:ascii="宋体" w:hAnsi="宋体" w:eastAsia="宋体" w:cs="宋体"/>
          <w:b w:val="0"/>
          <w:bCs w:val="0"/>
          <w:color w:val="auto"/>
          <w:sz w:val="21"/>
          <w:szCs w:val="21"/>
          <w:highlight w:val="none"/>
          <w:lang w:eastAsia="zh-CN"/>
        </w:rPr>
        <w:t>。</w:t>
      </w:r>
    </w:p>
    <w:p w14:paraId="4971A7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3、因</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使用的是财政性资金，</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在前款规定的付款时间向支付部门提出办理支付申请手续的时间（不含支付部门审核的时间），在规定时间内提出支付申请手续后即视为</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已经按期支付。</w:t>
      </w:r>
    </w:p>
    <w:p w14:paraId="1512B304">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4、履约保证金：</w:t>
      </w:r>
    </w:p>
    <w:p w14:paraId="449FCF48">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1）收取：</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与</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签订合同后15个工作日内，按合同总金额的5%以银行转账或支票（汇票、本票）或保函（保险）等非现金形式向</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需求管理部门提交履约保证金【保函（保险）方式提交的，须提供保函（保险）原件交予</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需求管理部门备案】，同时须保持履约保证金有效期覆盖合同服务期限。若不提交履约保证金或履约保证金在服务期内失效后15个工作日内不向</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更新提交，</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有权终止合同，由此产生的一切责任及损失均由</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承担。</w:t>
      </w:r>
    </w:p>
    <w:p w14:paraId="6281BA93">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2）退还：若合同期内</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没有违约行为，</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无息退还履约保证金：</w:t>
      </w:r>
    </w:p>
    <w:p w14:paraId="1BBDFEA6">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①以保函（保险）形式提交的履约保证金：在合同期满后或合同终止后30个工作日内自动失效；</w:t>
      </w:r>
    </w:p>
    <w:p w14:paraId="083CCF3C">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②以银行转账或支票（汇票）提交的履约保证金在合同期满后或合同终止后30个工作日内，</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书面提出退还申请，同时提交</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开具的履约保证金收据原件，</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需求管理部门收到退还申请资料后5个工作日内提交</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支付部门无息退还给</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w:t>
      </w:r>
    </w:p>
    <w:p w14:paraId="722F9EC6">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③如逾期退还，</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按每日逾期款总额的1‰向</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偿付违约金。下列任何一种情况发生时，</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有权不予退还履约保证金：（一）</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未完全履行项目响应文件承诺或合同约定的；（二）</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的原因导致</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损失的。</w:t>
      </w:r>
    </w:p>
    <w:p w14:paraId="440911C2">
      <w:pPr>
        <w:keepNext w:val="0"/>
        <w:keepLines w:val="0"/>
        <w:pageBreakBefore w:val="0"/>
        <w:widowControl/>
        <w:kinsoku/>
        <w:wordWrap/>
        <w:overflowPunct/>
        <w:topLinePunct w:val="0"/>
        <w:bidi w:val="0"/>
        <w:adjustRightInd/>
        <w:snapToGrid/>
        <w:spacing w:line="360" w:lineRule="auto"/>
        <w:ind w:firstLine="420" w:firstLineChars="200"/>
        <w:textAlignment w:val="auto"/>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5、</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如确定以中选（成交）通知书或合同融资的，须书面函告</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并提供相关资料给</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备案。合同签订后，</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原则上不得擅自变更合同中的银行账户信息，确需变更的，</w:t>
      </w:r>
      <w:r>
        <w:rPr>
          <w:rFonts w:hint="eastAsia" w:ascii="宋体" w:hAnsi="宋体" w:cs="宋体"/>
          <w:color w:val="auto"/>
          <w:kern w:val="2"/>
          <w:sz w:val="21"/>
          <w:szCs w:val="21"/>
          <w:highlight w:val="none"/>
          <w:lang w:eastAsia="zh-CN"/>
        </w:rPr>
        <w:t>乙方</w:t>
      </w:r>
      <w:r>
        <w:rPr>
          <w:rFonts w:hint="eastAsia" w:ascii="宋体" w:hAnsi="宋体" w:cs="宋体"/>
          <w:color w:val="auto"/>
          <w:kern w:val="2"/>
          <w:sz w:val="21"/>
          <w:szCs w:val="21"/>
          <w:highlight w:val="none"/>
        </w:rPr>
        <w:t>须向</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书面申请，经</w:t>
      </w:r>
      <w:r>
        <w:rPr>
          <w:rFonts w:hint="eastAsia" w:ascii="宋体" w:hAnsi="宋体" w:cs="宋体"/>
          <w:color w:val="auto"/>
          <w:kern w:val="2"/>
          <w:sz w:val="21"/>
          <w:szCs w:val="21"/>
          <w:highlight w:val="none"/>
          <w:lang w:eastAsia="zh-CN"/>
        </w:rPr>
        <w:t>甲方</w:t>
      </w:r>
      <w:r>
        <w:rPr>
          <w:rFonts w:hint="eastAsia" w:ascii="宋体" w:hAnsi="宋体" w:cs="宋体"/>
          <w:color w:val="auto"/>
          <w:kern w:val="2"/>
          <w:sz w:val="21"/>
          <w:szCs w:val="21"/>
          <w:highlight w:val="none"/>
        </w:rPr>
        <w:t>审核同意后方可变更。变更内容双方应签订合同补充协议。</w:t>
      </w:r>
    </w:p>
    <w:p w14:paraId="4AEA729E">
      <w:pPr>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ascii="宋体" w:hAnsi="宋体" w:cs="宋体"/>
          <w:color w:val="auto"/>
          <w:kern w:val="2"/>
          <w:sz w:val="21"/>
          <w:szCs w:val="21"/>
          <w:highlight w:val="none"/>
          <w:lang w:eastAsia="zh-CN"/>
        </w:rPr>
      </w:pPr>
    </w:p>
    <w:p w14:paraId="098BD26B">
      <w:pPr>
        <w:keepNext w:val="0"/>
        <w:keepLines w:val="0"/>
        <w:pageBreakBefore w:val="0"/>
        <w:kinsoku/>
        <w:wordWrap/>
        <w:overflowPunct/>
        <w:topLinePunct w:val="0"/>
        <w:autoSpaceDE/>
        <w:autoSpaceDN/>
        <w:bidi w:val="0"/>
        <w:adjustRightInd/>
        <w:snapToGrid/>
        <w:spacing w:line="360" w:lineRule="auto"/>
        <w:textAlignment w:val="auto"/>
        <w:rPr>
          <w:rFonts w:hint="default" w:eastAsia="宋体"/>
          <w:b/>
          <w:bCs/>
          <w:color w:val="auto"/>
          <w:highlight w:val="none"/>
          <w:lang w:val="en-US" w:eastAsia="zh-CN"/>
        </w:rPr>
      </w:pPr>
      <w:r>
        <w:rPr>
          <w:rFonts w:hint="eastAsia"/>
          <w:b/>
          <w:bCs/>
          <w:color w:val="auto"/>
          <w:highlight w:val="none"/>
          <w:lang w:eastAsia="zh-CN"/>
        </w:rPr>
        <w:t>第三部分</w:t>
      </w:r>
      <w:r>
        <w:rPr>
          <w:rFonts w:hint="eastAsia"/>
          <w:b/>
          <w:bCs/>
          <w:color w:val="auto"/>
          <w:highlight w:val="none"/>
          <w:lang w:val="en-US" w:eastAsia="zh-CN"/>
        </w:rPr>
        <w:t xml:space="preserve"> 其他</w:t>
      </w:r>
    </w:p>
    <w:p w14:paraId="7E61CC0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kern w:val="2"/>
          <w:sz w:val="21"/>
          <w:szCs w:val="21"/>
          <w:highlight w:val="none"/>
        </w:rPr>
      </w:pPr>
      <w:r>
        <w:rPr>
          <w:rFonts w:hint="eastAsia" w:ascii="宋体" w:hAnsi="宋体" w:cs="宋体"/>
          <w:b/>
          <w:bCs w:val="0"/>
          <w:color w:val="auto"/>
          <w:kern w:val="2"/>
          <w:sz w:val="21"/>
          <w:szCs w:val="21"/>
          <w:highlight w:val="none"/>
          <w:lang w:val="en-US" w:eastAsia="zh-CN"/>
        </w:rPr>
        <w:t>一</w:t>
      </w:r>
      <w:r>
        <w:rPr>
          <w:rFonts w:hint="eastAsia" w:ascii="宋体" w:hAnsi="宋体" w:eastAsia="宋体" w:cs="宋体"/>
          <w:b/>
          <w:bCs w:val="0"/>
          <w:color w:val="auto"/>
          <w:kern w:val="2"/>
          <w:sz w:val="21"/>
          <w:szCs w:val="21"/>
          <w:highlight w:val="none"/>
          <w:lang w:eastAsia="zh-CN"/>
        </w:rPr>
        <w:t>、</w:t>
      </w:r>
      <w:r>
        <w:rPr>
          <w:rFonts w:hint="eastAsia" w:ascii="宋体" w:hAnsi="宋体" w:eastAsia="宋体" w:cs="宋体"/>
          <w:b/>
          <w:bCs w:val="0"/>
          <w:color w:val="auto"/>
          <w:kern w:val="2"/>
          <w:sz w:val="21"/>
          <w:szCs w:val="21"/>
          <w:highlight w:val="none"/>
        </w:rPr>
        <w:t>双方责任</w:t>
      </w:r>
    </w:p>
    <w:p w14:paraId="6B3F7856">
      <w:pPr>
        <w:keepNext w:val="0"/>
        <w:keepLines w:val="0"/>
        <w:pageBreakBefore w:val="0"/>
        <w:widowControl w:val="0"/>
        <w:tabs>
          <w:tab w:val="left" w:pos="426"/>
          <w:tab w:val="left" w:pos="567"/>
        </w:tabs>
        <w:kinsoku/>
        <w:wordWrap/>
        <w:overflowPunct/>
        <w:topLinePunct w:val="0"/>
        <w:autoSpaceDE/>
        <w:autoSpaceDN/>
        <w:bidi w:val="0"/>
        <w:adjustRightInd/>
        <w:snapToGrid/>
        <w:spacing w:line="360" w:lineRule="auto"/>
        <w:ind w:firstLine="420" w:firstLineChars="200"/>
        <w:jc w:val="both"/>
        <w:textAlignment w:val="auto"/>
        <w:outlineLvl w:val="3"/>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eastAsia="zh-CN"/>
        </w:rPr>
        <w:t>1、乙方根据合同要求按时提供服务。</w:t>
      </w:r>
    </w:p>
    <w:p w14:paraId="7765194E">
      <w:pPr>
        <w:keepNext w:val="0"/>
        <w:keepLines w:val="0"/>
        <w:pageBreakBefore w:val="0"/>
        <w:widowControl w:val="0"/>
        <w:tabs>
          <w:tab w:val="left" w:pos="426"/>
          <w:tab w:val="left" w:pos="567"/>
        </w:tabs>
        <w:kinsoku/>
        <w:wordWrap/>
        <w:overflowPunct/>
        <w:topLinePunct w:val="0"/>
        <w:autoSpaceDE/>
        <w:autoSpaceDN/>
        <w:bidi w:val="0"/>
        <w:adjustRightInd/>
        <w:snapToGrid/>
        <w:spacing w:line="360" w:lineRule="auto"/>
        <w:ind w:firstLine="420" w:firstLineChars="200"/>
        <w:jc w:val="both"/>
        <w:textAlignment w:val="auto"/>
        <w:outlineLvl w:val="3"/>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eastAsia="zh-CN"/>
        </w:rPr>
        <w:t>2、乙方服务人员应文明、</w:t>
      </w:r>
      <w:r>
        <w:rPr>
          <w:rFonts w:hint="eastAsia" w:ascii="宋体" w:hAnsi="宋体" w:eastAsia="宋体" w:cs="宋体"/>
          <w:color w:val="auto"/>
          <w:kern w:val="0"/>
          <w:sz w:val="21"/>
          <w:szCs w:val="21"/>
          <w:highlight w:val="none"/>
          <w:lang w:val="en-US" w:eastAsia="zh-CN" w:bidi="ar-SA"/>
        </w:rPr>
        <w:t>安全、有序作业</w:t>
      </w:r>
      <w:r>
        <w:rPr>
          <w:rFonts w:hint="eastAsia" w:ascii="宋体" w:hAnsi="宋体" w:eastAsia="宋体" w:cs="宋体"/>
          <w:bCs/>
          <w:color w:val="auto"/>
          <w:kern w:val="2"/>
          <w:sz w:val="21"/>
          <w:szCs w:val="21"/>
          <w:highlight w:val="none"/>
          <w:lang w:eastAsia="zh-CN"/>
        </w:rPr>
        <w:t>。</w:t>
      </w:r>
    </w:p>
    <w:p w14:paraId="2D6F3A24">
      <w:pPr>
        <w:keepNext w:val="0"/>
        <w:keepLines w:val="0"/>
        <w:pageBreakBefore w:val="0"/>
        <w:widowControl w:val="0"/>
        <w:tabs>
          <w:tab w:val="left" w:pos="426"/>
          <w:tab w:val="left" w:pos="567"/>
        </w:tabs>
        <w:kinsoku/>
        <w:wordWrap/>
        <w:overflowPunct/>
        <w:topLinePunct w:val="0"/>
        <w:autoSpaceDE/>
        <w:autoSpaceDN/>
        <w:bidi w:val="0"/>
        <w:adjustRightInd/>
        <w:snapToGrid/>
        <w:spacing w:line="360" w:lineRule="auto"/>
        <w:ind w:firstLine="420" w:firstLineChars="200"/>
        <w:jc w:val="both"/>
        <w:textAlignment w:val="auto"/>
        <w:outlineLvl w:val="3"/>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3、乙方依法分类、清运垃圾。</w:t>
      </w:r>
    </w:p>
    <w:p w14:paraId="51C284F0">
      <w:pPr>
        <w:keepNext w:val="0"/>
        <w:keepLines w:val="0"/>
        <w:pageBreakBefore w:val="0"/>
        <w:widowControl w:val="0"/>
        <w:tabs>
          <w:tab w:val="left" w:pos="426"/>
          <w:tab w:val="left" w:pos="567"/>
        </w:tabs>
        <w:kinsoku/>
        <w:wordWrap/>
        <w:overflowPunct/>
        <w:topLinePunct w:val="0"/>
        <w:autoSpaceDE/>
        <w:autoSpaceDN/>
        <w:bidi w:val="0"/>
        <w:adjustRightInd/>
        <w:snapToGrid/>
        <w:spacing w:line="360" w:lineRule="auto"/>
        <w:ind w:firstLine="420" w:firstLineChars="200"/>
        <w:jc w:val="both"/>
        <w:textAlignment w:val="auto"/>
        <w:outlineLvl w:val="3"/>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lang w:eastAsia="zh-CN"/>
        </w:rPr>
        <w:t>、乙方上门工作须自觉遵守甲方相关管理规定，如因违反甲方管理规定造成的后果由乙方承担。</w:t>
      </w:r>
    </w:p>
    <w:p w14:paraId="23D845ED">
      <w:pPr>
        <w:keepNext w:val="0"/>
        <w:keepLines w:val="0"/>
        <w:pageBreakBefore w:val="0"/>
        <w:widowControl w:val="0"/>
        <w:tabs>
          <w:tab w:val="left" w:pos="426"/>
          <w:tab w:val="left" w:pos="567"/>
        </w:tabs>
        <w:kinsoku/>
        <w:wordWrap/>
        <w:overflowPunct/>
        <w:topLinePunct w:val="0"/>
        <w:autoSpaceDE/>
        <w:autoSpaceDN/>
        <w:bidi w:val="0"/>
        <w:adjustRightInd/>
        <w:snapToGrid/>
        <w:spacing w:line="360" w:lineRule="auto"/>
        <w:ind w:firstLine="420" w:firstLineChars="200"/>
        <w:jc w:val="both"/>
        <w:textAlignment w:val="auto"/>
        <w:outlineLvl w:val="3"/>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lang w:eastAsia="zh-CN"/>
        </w:rPr>
        <w:t>、甲方有按时与乙方结算货款的义务。</w:t>
      </w:r>
    </w:p>
    <w:p w14:paraId="598FA274">
      <w:pPr>
        <w:keepNext w:val="0"/>
        <w:keepLines w:val="0"/>
        <w:pageBreakBefore w:val="0"/>
        <w:widowControl w:val="0"/>
        <w:tabs>
          <w:tab w:val="left" w:pos="426"/>
          <w:tab w:val="left" w:pos="567"/>
        </w:tabs>
        <w:kinsoku/>
        <w:wordWrap/>
        <w:overflowPunct/>
        <w:topLinePunct w:val="0"/>
        <w:autoSpaceDE/>
        <w:autoSpaceDN/>
        <w:bidi w:val="0"/>
        <w:adjustRightInd/>
        <w:snapToGrid/>
        <w:spacing w:line="360" w:lineRule="auto"/>
        <w:ind w:firstLine="420" w:firstLineChars="200"/>
        <w:jc w:val="both"/>
        <w:textAlignment w:val="auto"/>
        <w:outlineLvl w:val="3"/>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val="en-US" w:eastAsia="zh-CN"/>
        </w:rPr>
        <w:t>6</w:t>
      </w:r>
      <w:r>
        <w:rPr>
          <w:rFonts w:hint="eastAsia" w:ascii="宋体" w:hAnsi="宋体" w:eastAsia="宋体" w:cs="宋体"/>
          <w:bCs/>
          <w:color w:val="auto"/>
          <w:kern w:val="2"/>
          <w:sz w:val="21"/>
          <w:szCs w:val="21"/>
          <w:highlight w:val="none"/>
          <w:lang w:eastAsia="zh-CN"/>
        </w:rPr>
        <w:t>、合同履约过程中，出现损害国家利益和社会公共利益情形的，遵循相应的国家法律法规、规章制度和国家政策。</w:t>
      </w:r>
    </w:p>
    <w:p w14:paraId="228BB0C1">
      <w:pPr>
        <w:keepNext w:val="0"/>
        <w:keepLines w:val="0"/>
        <w:pageBreakBefore w:val="0"/>
        <w:widowControl w:val="0"/>
        <w:tabs>
          <w:tab w:val="left" w:pos="426"/>
          <w:tab w:val="left" w:pos="567"/>
        </w:tabs>
        <w:kinsoku/>
        <w:wordWrap/>
        <w:overflowPunct/>
        <w:topLinePunct w:val="0"/>
        <w:autoSpaceDE/>
        <w:autoSpaceDN/>
        <w:bidi w:val="0"/>
        <w:adjustRightInd/>
        <w:snapToGrid/>
        <w:spacing w:line="360" w:lineRule="auto"/>
        <w:ind w:firstLine="420" w:firstLineChars="200"/>
        <w:jc w:val="both"/>
        <w:textAlignment w:val="auto"/>
        <w:outlineLvl w:val="3"/>
        <w:rPr>
          <w:rFonts w:hint="eastAsia" w:ascii="宋体" w:hAnsi="宋体" w:eastAsia="宋体" w:cs="宋体"/>
          <w:b/>
          <w:bCs/>
          <w:color w:val="auto"/>
          <w:kern w:val="2"/>
          <w:sz w:val="21"/>
          <w:szCs w:val="21"/>
          <w:highlight w:val="none"/>
          <w:lang w:eastAsia="zh-CN"/>
        </w:rPr>
      </w:pPr>
      <w:r>
        <w:rPr>
          <w:rFonts w:hint="eastAsia" w:ascii="宋体" w:hAnsi="宋体" w:eastAsia="宋体" w:cs="宋体"/>
          <w:bCs/>
          <w:color w:val="auto"/>
          <w:kern w:val="2"/>
          <w:sz w:val="21"/>
          <w:szCs w:val="21"/>
          <w:highlight w:val="none"/>
          <w:lang w:val="en-US" w:eastAsia="zh-CN"/>
        </w:rPr>
        <w:t>7</w:t>
      </w:r>
      <w:r>
        <w:rPr>
          <w:rFonts w:hint="eastAsia" w:ascii="宋体" w:hAnsi="宋体" w:eastAsia="宋体" w:cs="宋体"/>
          <w:bCs/>
          <w:color w:val="auto"/>
          <w:kern w:val="2"/>
          <w:sz w:val="21"/>
          <w:szCs w:val="21"/>
          <w:highlight w:val="none"/>
          <w:lang w:eastAsia="zh-CN"/>
        </w:rPr>
        <w:t>、乙方完全遵守《中华人民共和国民法典》有关规定和《中华人民共和国妇女权益保障法》中关于“劳动和社会保障权益”的有关要求。</w:t>
      </w:r>
    </w:p>
    <w:p w14:paraId="6C14B1D7">
      <w:pPr>
        <w:keepNext w:val="0"/>
        <w:keepLines w:val="0"/>
        <w:pageBreakBefore w:val="0"/>
        <w:widowControl w:val="0"/>
        <w:kinsoku/>
        <w:wordWrap/>
        <w:overflowPunct/>
        <w:topLinePunct w:val="0"/>
        <w:bidi w:val="0"/>
        <w:adjustRightInd/>
        <w:snapToGrid/>
        <w:spacing w:line="360" w:lineRule="auto"/>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b/>
          <w:bCs/>
          <w:color w:val="auto"/>
          <w:kern w:val="2"/>
          <w:sz w:val="21"/>
          <w:szCs w:val="21"/>
          <w:highlight w:val="none"/>
          <w:lang w:val="en-US" w:eastAsia="zh-CN"/>
        </w:rPr>
        <w:t>二</w:t>
      </w:r>
      <w:r>
        <w:rPr>
          <w:rFonts w:hint="eastAsia" w:ascii="宋体" w:hAnsi="宋体" w:eastAsia="宋体" w:cs="宋体"/>
          <w:b/>
          <w:bCs/>
          <w:color w:val="auto"/>
          <w:kern w:val="2"/>
          <w:sz w:val="21"/>
          <w:szCs w:val="21"/>
          <w:highlight w:val="none"/>
          <w:lang w:eastAsia="zh-CN"/>
        </w:rPr>
        <w:t>、</w:t>
      </w:r>
      <w:r>
        <w:rPr>
          <w:rFonts w:hint="eastAsia" w:ascii="宋体" w:hAnsi="宋体" w:eastAsia="宋体" w:cs="宋体"/>
          <w:b/>
          <w:bCs/>
          <w:color w:val="auto"/>
          <w:kern w:val="2"/>
          <w:sz w:val="21"/>
          <w:szCs w:val="21"/>
          <w:highlight w:val="none"/>
        </w:rPr>
        <w:t>违约</w:t>
      </w:r>
      <w:r>
        <w:rPr>
          <w:rFonts w:hint="eastAsia" w:ascii="宋体" w:hAnsi="宋体" w:eastAsia="宋体" w:cs="宋体"/>
          <w:b/>
          <w:bCs w:val="0"/>
          <w:color w:val="auto"/>
          <w:kern w:val="2"/>
          <w:sz w:val="21"/>
          <w:szCs w:val="21"/>
          <w:highlight w:val="none"/>
        </w:rPr>
        <w:t>条款</w:t>
      </w:r>
    </w:p>
    <w:p w14:paraId="2835A97E">
      <w:pPr>
        <w:pStyle w:val="48"/>
        <w:keepNext w:val="0"/>
        <w:keepLines w:val="0"/>
        <w:pageBreakBefore w:val="0"/>
        <w:kinsoku/>
        <w:wordWrap/>
        <w:overflowPunct/>
        <w:topLinePunct w:val="0"/>
        <w:bidi w:val="0"/>
        <w:adjustRightInd/>
        <w:snapToGrid/>
        <w:spacing w:line="360" w:lineRule="auto"/>
        <w:ind w:firstLine="46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、乙方在</w:t>
      </w:r>
      <w:r>
        <w:rPr>
          <w:rFonts w:hint="eastAsia" w:ascii="宋体" w:hAnsi="宋体" w:eastAsia="宋体" w:cs="宋体"/>
          <w:color w:val="auto"/>
          <w:sz w:val="21"/>
          <w:szCs w:val="21"/>
          <w:highlight w:val="none"/>
        </w:rPr>
        <w:t>合同履约</w:t>
      </w:r>
      <w:r>
        <w:rPr>
          <w:rFonts w:hint="eastAsia" w:ascii="宋体" w:hAnsi="宋体" w:eastAsia="宋体" w:cs="宋体"/>
          <w:color w:val="auto"/>
          <w:sz w:val="21"/>
          <w:szCs w:val="21"/>
          <w:highlight w:val="none"/>
          <w:lang w:eastAsia="zh-CN"/>
        </w:rPr>
        <w:t>时</w:t>
      </w:r>
      <w:r>
        <w:rPr>
          <w:rFonts w:hint="eastAsia" w:ascii="宋体" w:hAnsi="宋体" w:eastAsia="宋体" w:cs="宋体"/>
          <w:color w:val="auto"/>
          <w:sz w:val="21"/>
          <w:szCs w:val="21"/>
          <w:highlight w:val="none"/>
        </w:rPr>
        <w:t>未根据合同要求提供服务的，按相应条款约定处理，如相应条款未约定</w:t>
      </w:r>
      <w:r>
        <w:rPr>
          <w:rFonts w:hint="eastAsia" w:ascii="宋体" w:hAnsi="宋体" w:eastAsia="宋体" w:cs="宋体"/>
          <w:color w:val="auto"/>
          <w:sz w:val="21"/>
          <w:szCs w:val="21"/>
          <w:highlight w:val="none"/>
          <w:lang w:eastAsia="zh-CN"/>
        </w:rPr>
        <w:t>乙方责任</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w:t>
      </w:r>
      <w:r>
        <w:rPr>
          <w:rFonts w:hint="eastAsia" w:ascii="宋体" w:hAnsi="宋体" w:eastAsia="宋体" w:cs="宋体"/>
          <w:color w:val="auto"/>
          <w:sz w:val="21"/>
          <w:szCs w:val="21"/>
          <w:highlight w:val="none"/>
        </w:rPr>
        <w:t>甲方每发现一次扣罚乙方2000元；如</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连续三次拒不配合的，按</w:t>
      </w:r>
      <w:r>
        <w:rPr>
          <w:rFonts w:hint="eastAsia" w:ascii="宋体" w:hAnsi="宋体" w:eastAsia="宋体" w:cs="宋体"/>
          <w:color w:val="auto"/>
          <w:sz w:val="21"/>
          <w:szCs w:val="21"/>
          <w:highlight w:val="none"/>
          <w:lang w:eastAsia="zh-CN"/>
        </w:rPr>
        <w:t>严重</w:t>
      </w:r>
      <w:r>
        <w:rPr>
          <w:rFonts w:hint="eastAsia" w:ascii="宋体" w:hAnsi="宋体" w:eastAsia="宋体" w:cs="宋体"/>
          <w:color w:val="auto"/>
          <w:sz w:val="21"/>
          <w:szCs w:val="21"/>
          <w:highlight w:val="none"/>
        </w:rPr>
        <w:t>违约处理，乙方向甲方偿付合同总价的5%的违约金，甲方有权单方面终止合同，不予退还履约保证金，并上报监管部门，乙方承担一切违约责任及甲方的损失。</w:t>
      </w:r>
    </w:p>
    <w:p w14:paraId="7569034F">
      <w:pPr>
        <w:pStyle w:val="48"/>
        <w:keepNext w:val="0"/>
        <w:keepLines w:val="0"/>
        <w:pageBreakBefore w:val="0"/>
        <w:kinsoku/>
        <w:wordWrap/>
        <w:overflowPunct/>
        <w:topLinePunct w:val="0"/>
        <w:bidi w:val="0"/>
        <w:adjustRightInd/>
        <w:snapToGrid/>
        <w:spacing w:line="360" w:lineRule="auto"/>
        <w:ind w:firstLine="46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2、乙方未能按本合同规定的时间提供服务</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，乙方必须承担因服务延期造成甲方的所有损失，甲方有权终止合同，不予退还履约保证金，由此造成的甲方经济损失由乙方承担。</w:t>
      </w:r>
    </w:p>
    <w:p w14:paraId="216DFD15">
      <w:pPr>
        <w:pStyle w:val="48"/>
        <w:keepNext w:val="0"/>
        <w:keepLines w:val="0"/>
        <w:pageBreakBefore w:val="0"/>
        <w:kinsoku/>
        <w:wordWrap/>
        <w:overflowPunct/>
        <w:topLinePunct w:val="0"/>
        <w:bidi w:val="0"/>
        <w:adjustRightInd/>
        <w:snapToGrid/>
        <w:spacing w:line="360" w:lineRule="auto"/>
        <w:ind w:firstLine="46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3、乙方连续三个月综合考评分均低于90分，或一年内累计有4个月综合考评分均低于90分，视为乙方违约，甲方有权终止合同，违约责任造成的一切损失均由乙方负责。</w:t>
      </w:r>
    </w:p>
    <w:p w14:paraId="733624A5">
      <w:pPr>
        <w:pStyle w:val="48"/>
        <w:keepNext w:val="0"/>
        <w:keepLines w:val="0"/>
        <w:pageBreakBefore w:val="0"/>
        <w:kinsoku/>
        <w:wordWrap/>
        <w:overflowPunct/>
        <w:topLinePunct w:val="0"/>
        <w:bidi w:val="0"/>
        <w:adjustRightInd/>
        <w:snapToGrid/>
        <w:spacing w:line="360" w:lineRule="auto"/>
        <w:ind w:firstLine="46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4、乙方转包或分包本项目</w:t>
      </w:r>
      <w:r>
        <w:rPr>
          <w:rFonts w:hint="eastAsia" w:ascii="宋体" w:hAnsi="宋体" w:eastAsia="宋体" w:cs="宋体"/>
          <w:color w:val="auto"/>
          <w:sz w:val="21"/>
          <w:szCs w:val="21"/>
          <w:highlight w:val="none"/>
          <w:lang w:eastAsia="zh-CN"/>
        </w:rPr>
        <w:t>，或以其他任何形式私自与第三方进行合作的</w:t>
      </w:r>
      <w:r>
        <w:rPr>
          <w:rFonts w:hint="eastAsia" w:ascii="宋体" w:hAnsi="宋体" w:eastAsia="宋体" w:cs="宋体"/>
          <w:color w:val="auto"/>
          <w:sz w:val="21"/>
          <w:szCs w:val="21"/>
          <w:highlight w:val="none"/>
        </w:rPr>
        <w:t>，按违约处理，乙方向甲方偿付合同总价的5%的违约金，甲方有权终止合同，不予退还履约保证金，乙方承担一切违约责任。</w:t>
      </w:r>
    </w:p>
    <w:p w14:paraId="146E966C">
      <w:pPr>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甲方无正当理由拒</w:t>
      </w:r>
      <w:r>
        <w:rPr>
          <w:rFonts w:hint="eastAsia" w:ascii="宋体" w:hAnsi="宋体" w:eastAsia="宋体" w:cs="宋体"/>
          <w:color w:val="auto"/>
          <w:sz w:val="21"/>
          <w:szCs w:val="21"/>
          <w:highlight w:val="none"/>
          <w:lang w:eastAsia="zh-CN"/>
        </w:rPr>
        <w:t>决</w:t>
      </w:r>
      <w:r>
        <w:rPr>
          <w:rFonts w:hint="eastAsia" w:ascii="宋体" w:hAnsi="宋体" w:eastAsia="宋体" w:cs="宋体"/>
          <w:color w:val="auto"/>
          <w:sz w:val="21"/>
          <w:szCs w:val="21"/>
          <w:highlight w:val="none"/>
        </w:rPr>
        <w:t xml:space="preserve">服务，到期拒付服务款项的，甲方向乙方偿付当期应付合同费用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‰的违约金。甲方逾期支付合同款项的，除应当支付合同款项外，还应当每日按欠款总价的</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‰向乙方偿付违约金，但因乙方自身原因导致无法及时支付的除外。</w:t>
      </w:r>
    </w:p>
    <w:p w14:paraId="439AF627">
      <w:pPr>
        <w:pStyle w:val="48"/>
        <w:keepNext w:val="0"/>
        <w:keepLines w:val="0"/>
        <w:pageBreakBefore w:val="0"/>
        <w:kinsoku/>
        <w:wordWrap/>
        <w:overflowPunct/>
        <w:topLinePunct w:val="0"/>
        <w:bidi w:val="0"/>
        <w:adjustRightInd/>
        <w:snapToGrid/>
        <w:spacing w:line="360" w:lineRule="auto"/>
        <w:ind w:firstLine="46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其它违约责任按《中华人民共和国民法典》处理。</w:t>
      </w:r>
    </w:p>
    <w:p w14:paraId="43577678">
      <w:pPr>
        <w:keepNext w:val="0"/>
        <w:keepLines w:val="0"/>
        <w:pageBreakBefore w:val="0"/>
        <w:widowControl w:val="0"/>
        <w:kinsoku/>
        <w:wordWrap/>
        <w:overflowPunct/>
        <w:topLinePunct w:val="0"/>
        <w:bidi w:val="0"/>
        <w:adjustRightInd/>
        <w:snapToGrid/>
        <w:spacing w:line="360" w:lineRule="auto"/>
        <w:jc w:val="both"/>
        <w:textAlignment w:val="auto"/>
        <w:rPr>
          <w:rFonts w:hint="eastAsia" w:ascii="宋体" w:hAnsi="宋体" w:eastAsia="宋体" w:cs="宋体"/>
          <w:b/>
          <w:bCs w:val="0"/>
          <w:color w:val="auto"/>
          <w:kern w:val="2"/>
          <w:sz w:val="21"/>
          <w:szCs w:val="21"/>
          <w:highlight w:val="none"/>
        </w:rPr>
      </w:pPr>
      <w:r>
        <w:rPr>
          <w:rFonts w:hint="eastAsia" w:ascii="宋体" w:hAnsi="宋体" w:cs="宋体"/>
          <w:b/>
          <w:bCs w:val="0"/>
          <w:color w:val="auto"/>
          <w:kern w:val="2"/>
          <w:sz w:val="21"/>
          <w:szCs w:val="21"/>
          <w:highlight w:val="none"/>
          <w:lang w:val="en-US" w:eastAsia="zh-CN"/>
        </w:rPr>
        <w:t>三</w:t>
      </w:r>
      <w:r>
        <w:rPr>
          <w:rFonts w:hint="eastAsia" w:ascii="宋体" w:hAnsi="宋体" w:eastAsia="宋体" w:cs="宋体"/>
          <w:b/>
          <w:bCs w:val="0"/>
          <w:color w:val="auto"/>
          <w:kern w:val="2"/>
          <w:sz w:val="21"/>
          <w:szCs w:val="21"/>
          <w:highlight w:val="none"/>
        </w:rPr>
        <w:t>、争议的解决</w:t>
      </w:r>
    </w:p>
    <w:p w14:paraId="012FF02D">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合同执行过程中发生任何争议，双方应通过友好协商解决。如双方协商不成时，向甲方所在地人民法院提起诉讼。</w:t>
      </w:r>
    </w:p>
    <w:p w14:paraId="22546A92">
      <w:pPr>
        <w:keepNext w:val="0"/>
        <w:keepLines w:val="0"/>
        <w:pageBreakBefore w:val="0"/>
        <w:widowControl w:val="0"/>
        <w:kinsoku/>
        <w:wordWrap/>
        <w:overflowPunct/>
        <w:topLinePunct w:val="0"/>
        <w:bidi w:val="0"/>
        <w:adjustRightInd/>
        <w:snapToGrid/>
        <w:spacing w:line="360" w:lineRule="auto"/>
        <w:jc w:val="both"/>
        <w:textAlignment w:val="auto"/>
        <w:rPr>
          <w:rFonts w:hint="eastAsia" w:ascii="宋体" w:hAnsi="宋体" w:eastAsia="宋体" w:cs="宋体"/>
          <w:b/>
          <w:bCs w:val="0"/>
          <w:color w:val="auto"/>
          <w:kern w:val="2"/>
          <w:sz w:val="21"/>
          <w:szCs w:val="21"/>
          <w:highlight w:val="none"/>
        </w:rPr>
      </w:pPr>
      <w:r>
        <w:rPr>
          <w:rFonts w:hint="eastAsia" w:ascii="宋体" w:hAnsi="宋体" w:cs="宋体"/>
          <w:b/>
          <w:bCs w:val="0"/>
          <w:color w:val="auto"/>
          <w:kern w:val="2"/>
          <w:sz w:val="21"/>
          <w:szCs w:val="21"/>
          <w:highlight w:val="none"/>
          <w:lang w:val="en-US" w:eastAsia="zh-CN"/>
        </w:rPr>
        <w:t>四</w:t>
      </w:r>
      <w:r>
        <w:rPr>
          <w:rFonts w:hint="eastAsia" w:ascii="宋体" w:hAnsi="宋体" w:eastAsia="宋体" w:cs="宋体"/>
          <w:b/>
          <w:bCs w:val="0"/>
          <w:color w:val="auto"/>
          <w:kern w:val="2"/>
          <w:sz w:val="21"/>
          <w:szCs w:val="21"/>
          <w:highlight w:val="none"/>
        </w:rPr>
        <w:t>、不可抗力</w:t>
      </w:r>
    </w:p>
    <w:p w14:paraId="029BF56F">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不可抗力指战争、严重火灾、洪水、台风、地震等或其它双方认定的不可抗力事件。由于不可预见、不可避免、不可克服等不可抗力的原因，一方不能履行合同义务的，应当在不可抗力发生之日起10天内以书面形式通知对方，证明不可抗力事件的存在。不可抗力事件发生后，甲乙双方应当积极寻求以合理的方式履行本合同。如不可抗力无法消除，致使合同的目的无法实现的，双方均有权解除合同，且均不互相索赔。</w:t>
      </w:r>
    </w:p>
    <w:p w14:paraId="4F0D41E7">
      <w:pPr>
        <w:keepNext w:val="0"/>
        <w:keepLines w:val="0"/>
        <w:pageBreakBefore w:val="0"/>
        <w:widowControl w:val="0"/>
        <w:kinsoku/>
        <w:wordWrap/>
        <w:overflowPunct/>
        <w:topLinePunct w:val="0"/>
        <w:bidi w:val="0"/>
        <w:adjustRightInd/>
        <w:snapToGrid/>
        <w:spacing w:line="360" w:lineRule="auto"/>
        <w:jc w:val="both"/>
        <w:textAlignment w:val="auto"/>
        <w:rPr>
          <w:rFonts w:hint="eastAsia" w:ascii="宋体" w:hAnsi="宋体" w:eastAsia="宋体" w:cs="宋体"/>
          <w:b/>
          <w:bCs w:val="0"/>
          <w:color w:val="auto"/>
          <w:kern w:val="2"/>
          <w:sz w:val="21"/>
          <w:szCs w:val="21"/>
          <w:highlight w:val="none"/>
        </w:rPr>
      </w:pPr>
      <w:r>
        <w:rPr>
          <w:rFonts w:hint="eastAsia" w:ascii="宋体" w:hAnsi="宋体" w:cs="宋体"/>
          <w:b/>
          <w:bCs w:val="0"/>
          <w:color w:val="auto"/>
          <w:kern w:val="2"/>
          <w:sz w:val="21"/>
          <w:szCs w:val="21"/>
          <w:highlight w:val="none"/>
          <w:lang w:val="en-US" w:eastAsia="zh-CN"/>
        </w:rPr>
        <w:t>五</w:t>
      </w:r>
      <w:r>
        <w:rPr>
          <w:rFonts w:hint="eastAsia" w:ascii="宋体" w:hAnsi="宋体" w:eastAsia="宋体" w:cs="宋体"/>
          <w:b/>
          <w:bCs w:val="0"/>
          <w:color w:val="auto"/>
          <w:kern w:val="2"/>
          <w:sz w:val="21"/>
          <w:szCs w:val="21"/>
          <w:highlight w:val="none"/>
        </w:rPr>
        <w:t>、其它</w:t>
      </w:r>
    </w:p>
    <w:p w14:paraId="42879AC9">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（一）本合同一式 </w:t>
      </w:r>
      <w:r>
        <w:rPr>
          <w:rFonts w:hint="eastAsia" w:ascii="宋体" w:hAnsi="宋体" w:eastAsia="宋体" w:cs="宋体"/>
          <w:color w:val="auto"/>
          <w:kern w:val="2"/>
          <w:sz w:val="21"/>
          <w:szCs w:val="21"/>
          <w:highlight w:val="none"/>
          <w:lang w:val="en-US" w:eastAsia="zh-CN"/>
        </w:rPr>
        <w:t xml:space="preserve">捌 </w:t>
      </w:r>
      <w:r>
        <w:rPr>
          <w:rFonts w:hint="eastAsia" w:ascii="宋体" w:hAnsi="宋体" w:eastAsia="宋体" w:cs="宋体"/>
          <w:color w:val="auto"/>
          <w:kern w:val="2"/>
          <w:sz w:val="21"/>
          <w:szCs w:val="21"/>
          <w:highlight w:val="none"/>
        </w:rPr>
        <w:t xml:space="preserve">份，具有同等效力，甲方 伍 份，乙方 </w:t>
      </w:r>
      <w:r>
        <w:rPr>
          <w:rFonts w:hint="eastAsia" w:ascii="宋体" w:hAnsi="宋体" w:eastAsia="宋体" w:cs="宋体"/>
          <w:color w:val="auto"/>
          <w:kern w:val="2"/>
          <w:sz w:val="21"/>
          <w:szCs w:val="21"/>
          <w:highlight w:val="none"/>
          <w:lang w:val="en-US" w:eastAsia="zh-CN"/>
        </w:rPr>
        <w:t>叁</w:t>
      </w:r>
      <w:r>
        <w:rPr>
          <w:rFonts w:hint="eastAsia" w:ascii="宋体" w:hAnsi="宋体" w:eastAsia="宋体" w:cs="宋体"/>
          <w:color w:val="auto"/>
          <w:kern w:val="2"/>
          <w:sz w:val="21"/>
          <w:szCs w:val="21"/>
          <w:highlight w:val="none"/>
        </w:rPr>
        <w:t xml:space="preserve"> 份。</w:t>
      </w:r>
    </w:p>
    <w:p w14:paraId="1DF89C51">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（二）本合同自双方法人代表或授权代表签字并加盖公章或合同章后生效。</w:t>
      </w:r>
    </w:p>
    <w:p w14:paraId="44290B97">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三</w:t>
      </w:r>
      <w:r>
        <w:rPr>
          <w:rFonts w:hint="eastAsia" w:ascii="宋体" w:hAnsi="宋体" w:eastAsia="宋体" w:cs="宋体"/>
          <w:color w:val="auto"/>
          <w:kern w:val="2"/>
          <w:sz w:val="21"/>
          <w:szCs w:val="21"/>
          <w:highlight w:val="none"/>
        </w:rPr>
        <w:t>）本合同未尽事宜，由双方协商处理。</w:t>
      </w:r>
    </w:p>
    <w:p w14:paraId="573F3A49">
      <w:pPr>
        <w:pStyle w:val="10"/>
        <w:spacing w:line="360" w:lineRule="auto"/>
        <w:jc w:val="both"/>
        <w:rPr>
          <w:rFonts w:hint="eastAsia" w:ascii="Times New Roman" w:hAnsi="Times New Roman"/>
          <w:b/>
          <w:bCs/>
          <w:color w:val="auto"/>
          <w:sz w:val="24"/>
          <w:szCs w:val="24"/>
          <w:highlight w:val="none"/>
        </w:rPr>
      </w:pPr>
      <w:r>
        <w:rPr>
          <w:rFonts w:hint="eastAsia" w:ascii="宋体" w:hAnsi="宋体" w:cs="宋体"/>
          <w:b/>
          <w:bCs/>
          <w:color w:val="auto"/>
          <w:kern w:val="2"/>
          <w:sz w:val="21"/>
          <w:szCs w:val="21"/>
          <w:highlight w:val="none"/>
          <w:lang w:eastAsia="zh-CN"/>
        </w:rPr>
        <w:t>六、</w:t>
      </w:r>
      <w:r>
        <w:rPr>
          <w:rFonts w:hint="eastAsia" w:ascii="Times New Roman" w:hAnsi="Times New Roman"/>
          <w:b/>
          <w:bCs/>
          <w:color w:val="auto"/>
          <w:sz w:val="24"/>
          <w:szCs w:val="24"/>
          <w:highlight w:val="none"/>
        </w:rPr>
        <w:t>医疗卫生机构廉洁购销</w:t>
      </w:r>
      <w:r>
        <w:rPr>
          <w:rFonts w:hint="eastAsia" w:ascii="Times New Roman" w:hAnsi="Times New Roman"/>
          <w:b/>
          <w:bCs/>
          <w:color w:val="auto"/>
          <w:sz w:val="24"/>
          <w:szCs w:val="24"/>
          <w:highlight w:val="none"/>
          <w:lang w:eastAsia="zh-CN"/>
        </w:rPr>
        <w:t>条款</w:t>
      </w:r>
    </w:p>
    <w:p w14:paraId="489CDF47">
      <w:pPr>
        <w:autoSpaceDE w:val="0"/>
        <w:autoSpaceDN w:val="0"/>
        <w:spacing w:line="360" w:lineRule="auto"/>
        <w:ind w:firstLine="480" w:firstLineChars="200"/>
        <w:rPr>
          <w:rFonts w:ascii="宋体" w:hAnsi="宋体"/>
          <w:color w:val="auto"/>
          <w:sz w:val="24"/>
          <w:szCs w:val="24"/>
          <w:highlight w:val="none"/>
          <w:lang w:val="zh-CN"/>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lang w:val="zh-CN"/>
        </w:rPr>
        <w:t>、甲方应当严格执行购销合同验收、入库制度，对发票进行查验，不得违反有关规定合同外采购、违价采购或从非规定渠道采购。</w:t>
      </w:r>
    </w:p>
    <w:p w14:paraId="2320BE6F">
      <w:pPr>
        <w:autoSpaceDE w:val="0"/>
        <w:autoSpaceDN w:val="0"/>
        <w:spacing w:line="360" w:lineRule="auto"/>
        <w:ind w:firstLine="480" w:firstLineChars="200"/>
        <w:rPr>
          <w:rFonts w:ascii="宋体" w:hAnsi="宋体"/>
          <w:color w:val="auto"/>
          <w:sz w:val="24"/>
          <w:szCs w:val="24"/>
          <w:highlight w:val="none"/>
          <w:lang w:val="zh-CN"/>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val="zh-CN"/>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7C7E8D0D">
      <w:pPr>
        <w:autoSpaceDE w:val="0"/>
        <w:autoSpaceDN w:val="0"/>
        <w:spacing w:line="360" w:lineRule="auto"/>
        <w:ind w:firstLine="480" w:firstLineChars="200"/>
        <w:rPr>
          <w:rFonts w:hint="eastAsia" w:ascii="宋体" w:hAnsi="宋体"/>
          <w:color w:val="auto"/>
          <w:sz w:val="24"/>
          <w:szCs w:val="24"/>
          <w:highlight w:val="none"/>
          <w:lang w:val="zh-CN"/>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lang w:val="zh-CN"/>
        </w:rPr>
        <w:t>、乙方不得以回扣、宴请等方式影响甲方工作人员采购的选择权，不得在学术活动中提供旅游、超标准支付食宿费用。</w:t>
      </w:r>
    </w:p>
    <w:p w14:paraId="31C9E0C0">
      <w:pPr>
        <w:autoSpaceDE w:val="0"/>
        <w:autoSpaceDN w:val="0"/>
        <w:spacing w:line="360" w:lineRule="auto"/>
        <w:ind w:firstLine="480" w:firstLineChars="200"/>
        <w:rPr>
          <w:rFonts w:ascii="宋体" w:hAnsi="宋体"/>
          <w:color w:val="auto"/>
          <w:sz w:val="24"/>
          <w:szCs w:val="24"/>
          <w:highlight w:val="none"/>
          <w:lang w:val="zh-CN"/>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lang w:val="zh-CN"/>
        </w:rPr>
        <w:t>、乙方指定专人作为销售代表洽谈业务。销售代表必须在工作时间到甲方指定地点联系商谈，不得到住院部、门诊部、医技科室等推销医药产品，不得借故到甲方相关领导、部门负责人及相关工作人员家中访谈并提供任何好处费。</w:t>
      </w:r>
    </w:p>
    <w:p w14:paraId="504F4CCE">
      <w:pPr>
        <w:autoSpaceDE w:val="0"/>
        <w:autoSpaceDN w:val="0"/>
        <w:spacing w:line="360" w:lineRule="auto"/>
        <w:ind w:firstLine="480" w:firstLineChars="200"/>
        <w:rPr>
          <w:rFonts w:ascii="宋体" w:hAnsi="宋体"/>
          <w:color w:val="auto"/>
          <w:sz w:val="24"/>
          <w:szCs w:val="24"/>
          <w:highlight w:val="none"/>
          <w:lang w:val="zh-CN"/>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lang w:val="zh-CN"/>
        </w:rPr>
        <w:t>、乙方如违反上述条款，一经发现，甲方有权终止合同，并向有关卫生计生行政部门报告。如乙方被列入商业贿赂不良记录，则严格按照相关规定处理。</w:t>
      </w:r>
    </w:p>
    <w:p w14:paraId="60C5B701">
      <w:pPr>
        <w:keepNext w:val="0"/>
        <w:keepLines w:val="0"/>
        <w:pageBreakBefore w:val="0"/>
        <w:kinsoku/>
        <w:wordWrap/>
        <w:overflowPunct/>
        <w:topLinePunct w:val="0"/>
        <w:autoSpaceDE w:val="0"/>
        <w:autoSpaceDN w:val="0"/>
        <w:bidi w:val="0"/>
        <w:adjustRightInd/>
        <w:snapToGrid/>
        <w:spacing w:line="360" w:lineRule="auto"/>
        <w:jc w:val="both"/>
        <w:textAlignment w:val="auto"/>
        <w:rPr>
          <w:rFonts w:hint="eastAsia" w:ascii="宋体" w:hAnsi="宋体" w:eastAsia="宋体" w:cs="宋体"/>
          <w:color w:val="auto"/>
          <w:kern w:val="2"/>
          <w:sz w:val="21"/>
          <w:szCs w:val="21"/>
          <w:highlight w:val="none"/>
          <w:lang w:eastAsia="zh-CN"/>
        </w:rPr>
      </w:pPr>
    </w:p>
    <w:p w14:paraId="781FC50B">
      <w:pPr>
        <w:spacing w:line="360" w:lineRule="auto"/>
        <w:ind w:left="425"/>
        <w:rPr>
          <w:rFonts w:ascii="宋体" w:hAnsi="宋体" w:eastAsia="宋体" w:cs="宋体"/>
          <w:color w:val="auto"/>
          <w:highlight w:val="none"/>
          <w:lang w:val="da-DK"/>
        </w:rPr>
      </w:pPr>
    </w:p>
    <w:p w14:paraId="1941AA00">
      <w:pPr>
        <w:rPr>
          <w:rFonts w:ascii="宋体" w:hAnsi="宋体" w:eastAsia="宋体" w:cs="宋体"/>
          <w:color w:val="auto"/>
          <w:kern w:val="2"/>
          <w:highlight w:val="none"/>
        </w:rPr>
      </w:pPr>
    </w:p>
    <w:p w14:paraId="07A6F546">
      <w:pPr>
        <w:widowControl w:val="0"/>
        <w:autoSpaceDE w:val="0"/>
        <w:autoSpaceDN w:val="0"/>
        <w:snapToGrid w:val="0"/>
        <w:spacing w:line="360" w:lineRule="auto"/>
        <w:jc w:val="both"/>
        <w:rPr>
          <w:rFonts w:ascii="宋体" w:hAnsi="宋体" w:eastAsia="宋体" w:cs="宋体"/>
          <w:color w:val="auto"/>
          <w:kern w:val="2"/>
          <w:highlight w:val="none"/>
        </w:rPr>
      </w:pPr>
      <w:r>
        <w:rPr>
          <w:rFonts w:hint="eastAsia" w:ascii="宋体" w:hAnsi="宋体" w:eastAsia="宋体" w:cs="宋体"/>
          <w:color w:val="auto"/>
          <w:kern w:val="2"/>
          <w:highlight w:val="none"/>
        </w:rPr>
        <w:t>----------------------本页为本合同签署页，以下无正文-----------------------</w:t>
      </w:r>
    </w:p>
    <w:p w14:paraId="7BB3ED3D">
      <w:pPr>
        <w:widowControl w:val="0"/>
        <w:snapToGrid w:val="0"/>
        <w:spacing w:line="360" w:lineRule="auto"/>
        <w:rPr>
          <w:rFonts w:ascii="宋体" w:hAnsi="宋体" w:eastAsia="宋体" w:cs="宋体"/>
          <w:color w:val="auto"/>
          <w:kern w:val="2"/>
          <w:sz w:val="24"/>
          <w:szCs w:val="24"/>
          <w:highlight w:val="none"/>
        </w:rPr>
      </w:pPr>
    </w:p>
    <w:tbl>
      <w:tblPr>
        <w:tblStyle w:val="24"/>
        <w:tblW w:w="8943" w:type="dxa"/>
        <w:tblInd w:w="-108" w:type="dxa"/>
        <w:tblLayout w:type="autofit"/>
        <w:tblCellMar>
          <w:top w:w="0" w:type="dxa"/>
          <w:left w:w="108" w:type="dxa"/>
          <w:bottom w:w="0" w:type="dxa"/>
          <w:right w:w="108" w:type="dxa"/>
        </w:tblCellMar>
      </w:tblPr>
      <w:tblGrid>
        <w:gridCol w:w="4528"/>
        <w:gridCol w:w="4415"/>
      </w:tblGrid>
      <w:tr w14:paraId="3BFD2035">
        <w:tblPrEx>
          <w:tblCellMar>
            <w:top w:w="0" w:type="dxa"/>
            <w:left w:w="108" w:type="dxa"/>
            <w:bottom w:w="0" w:type="dxa"/>
            <w:right w:w="108" w:type="dxa"/>
          </w:tblCellMar>
        </w:tblPrEx>
        <w:trPr>
          <w:trHeight w:val="962" w:hRule="atLeast"/>
        </w:trPr>
        <w:tc>
          <w:tcPr>
            <w:tcW w:w="4528" w:type="dxa"/>
            <w:noWrap w:val="0"/>
            <w:vAlign w:val="top"/>
          </w:tcPr>
          <w:p w14:paraId="13CD3C9B">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甲</w:t>
            </w:r>
            <w:r>
              <w:rPr>
                <w:rFonts w:hint="default"/>
                <w:b/>
                <w:bCs/>
                <w:color w:val="auto"/>
                <w:sz w:val="20"/>
                <w:szCs w:val="20"/>
                <w:highlight w:val="none"/>
                <w:lang w:bidi="ar"/>
              </w:rPr>
              <w:t xml:space="preserve">   </w:t>
            </w:r>
            <w:r>
              <w:rPr>
                <w:rFonts w:hint="eastAsia" w:cs="宋体"/>
                <w:b/>
                <w:bCs/>
                <w:color w:val="auto"/>
                <w:sz w:val="20"/>
                <w:szCs w:val="20"/>
                <w:highlight w:val="none"/>
                <w:lang w:bidi="ar"/>
              </w:rPr>
              <w:t>方：广州医科大学附属妇女儿童医疗中心</w:t>
            </w:r>
          </w:p>
        </w:tc>
        <w:tc>
          <w:tcPr>
            <w:tcW w:w="4415" w:type="dxa"/>
            <w:noWrap w:val="0"/>
            <w:vAlign w:val="top"/>
          </w:tcPr>
          <w:p w14:paraId="4FAB494C">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乙</w:t>
            </w:r>
            <w:r>
              <w:rPr>
                <w:rFonts w:hint="default"/>
                <w:b/>
                <w:bCs/>
                <w:color w:val="auto"/>
                <w:sz w:val="20"/>
                <w:szCs w:val="20"/>
                <w:highlight w:val="none"/>
                <w:lang w:bidi="ar"/>
              </w:rPr>
              <w:t xml:space="preserve">    </w:t>
            </w:r>
            <w:r>
              <w:rPr>
                <w:rFonts w:hint="eastAsia" w:cs="宋体"/>
                <w:b/>
                <w:bCs/>
                <w:color w:val="auto"/>
                <w:sz w:val="20"/>
                <w:szCs w:val="20"/>
                <w:highlight w:val="none"/>
                <w:lang w:bidi="ar"/>
              </w:rPr>
              <w:t>方：</w:t>
            </w:r>
          </w:p>
        </w:tc>
      </w:tr>
      <w:tr w14:paraId="52C2291D">
        <w:tblPrEx>
          <w:tblCellMar>
            <w:top w:w="0" w:type="dxa"/>
            <w:left w:w="108" w:type="dxa"/>
            <w:bottom w:w="0" w:type="dxa"/>
            <w:right w:w="108" w:type="dxa"/>
          </w:tblCellMar>
        </w:tblPrEx>
        <w:trPr>
          <w:trHeight w:val="562" w:hRule="atLeast"/>
        </w:trPr>
        <w:tc>
          <w:tcPr>
            <w:tcW w:w="4528" w:type="dxa"/>
            <w:noWrap w:val="0"/>
            <w:vAlign w:val="top"/>
          </w:tcPr>
          <w:p w14:paraId="08ECE2E2">
            <w:pPr>
              <w:keepNext w:val="0"/>
              <w:keepLines w:val="0"/>
              <w:widowControl/>
              <w:suppressLineNumbers w:val="0"/>
              <w:spacing w:before="0" w:beforeAutospacing="0" w:after="0" w:afterAutospacing="0"/>
              <w:ind w:left="0" w:right="0"/>
              <w:rPr>
                <w:rFonts w:hint="eastAsia" w:eastAsia="宋体"/>
                <w:b/>
                <w:bCs/>
                <w:color w:val="auto"/>
                <w:sz w:val="20"/>
                <w:szCs w:val="20"/>
                <w:highlight w:val="none"/>
                <w:lang w:eastAsia="zh-CN"/>
              </w:rPr>
            </w:pPr>
            <w:r>
              <w:rPr>
                <w:rFonts w:hint="eastAsia" w:cs="宋体"/>
                <w:b/>
                <w:bCs/>
                <w:color w:val="auto"/>
                <w:sz w:val="20"/>
                <w:szCs w:val="20"/>
                <w:highlight w:val="none"/>
                <w:lang w:bidi="ar"/>
              </w:rPr>
              <w:t>法人代表：</w:t>
            </w:r>
            <w:r>
              <w:rPr>
                <w:rFonts w:hint="eastAsia" w:cs="宋体"/>
                <w:b/>
                <w:bCs/>
                <w:color w:val="auto"/>
                <w:sz w:val="20"/>
                <w:szCs w:val="20"/>
                <w:highlight w:val="none"/>
                <w:lang w:eastAsia="zh-CN" w:bidi="ar"/>
              </w:rPr>
              <w:t>周文浩</w:t>
            </w:r>
          </w:p>
        </w:tc>
        <w:tc>
          <w:tcPr>
            <w:tcW w:w="4415" w:type="dxa"/>
            <w:noWrap w:val="0"/>
            <w:vAlign w:val="top"/>
          </w:tcPr>
          <w:p w14:paraId="64E38F03">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法人代表：</w:t>
            </w:r>
          </w:p>
        </w:tc>
      </w:tr>
      <w:tr w14:paraId="2219C454">
        <w:tblPrEx>
          <w:tblCellMar>
            <w:top w:w="0" w:type="dxa"/>
            <w:left w:w="108" w:type="dxa"/>
            <w:bottom w:w="0" w:type="dxa"/>
            <w:right w:w="108" w:type="dxa"/>
          </w:tblCellMar>
        </w:tblPrEx>
        <w:trPr>
          <w:trHeight w:val="562" w:hRule="atLeast"/>
        </w:trPr>
        <w:tc>
          <w:tcPr>
            <w:tcW w:w="4528" w:type="dxa"/>
            <w:noWrap w:val="0"/>
            <w:vAlign w:val="top"/>
          </w:tcPr>
          <w:p w14:paraId="3EDDD795">
            <w:pPr>
              <w:keepNext w:val="0"/>
              <w:keepLines w:val="0"/>
              <w:widowControl/>
              <w:suppressLineNumbers w:val="0"/>
              <w:spacing w:before="0" w:beforeAutospacing="0" w:after="0" w:afterAutospacing="0"/>
              <w:ind w:left="0" w:right="0"/>
              <w:rPr>
                <w:rFonts w:hint="default"/>
                <w:b/>
                <w:bCs/>
                <w:color w:val="auto"/>
                <w:sz w:val="20"/>
                <w:szCs w:val="20"/>
                <w:highlight w:val="none"/>
              </w:rPr>
            </w:pPr>
          </w:p>
        </w:tc>
        <w:tc>
          <w:tcPr>
            <w:tcW w:w="4415" w:type="dxa"/>
            <w:noWrap w:val="0"/>
            <w:vAlign w:val="top"/>
          </w:tcPr>
          <w:p w14:paraId="661BA4B5">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签约代表：</w:t>
            </w:r>
          </w:p>
        </w:tc>
      </w:tr>
      <w:tr w14:paraId="15ECE985">
        <w:tblPrEx>
          <w:tblCellMar>
            <w:top w:w="0" w:type="dxa"/>
            <w:left w:w="108" w:type="dxa"/>
            <w:bottom w:w="0" w:type="dxa"/>
            <w:right w:w="108" w:type="dxa"/>
          </w:tblCellMar>
        </w:tblPrEx>
        <w:trPr>
          <w:trHeight w:val="562" w:hRule="atLeast"/>
        </w:trPr>
        <w:tc>
          <w:tcPr>
            <w:tcW w:w="4528" w:type="dxa"/>
            <w:noWrap w:val="0"/>
            <w:vAlign w:val="top"/>
          </w:tcPr>
          <w:p w14:paraId="18B89618">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eastAsia="zh-CN" w:bidi="ar"/>
              </w:rPr>
              <w:t>运营质量</w:t>
            </w:r>
            <w:r>
              <w:rPr>
                <w:rFonts w:hint="eastAsia" w:cs="宋体"/>
                <w:b/>
                <w:bCs/>
                <w:color w:val="auto"/>
                <w:sz w:val="20"/>
                <w:szCs w:val="20"/>
                <w:highlight w:val="none"/>
                <w:lang w:bidi="ar"/>
              </w:rPr>
              <w:t>部主任：</w:t>
            </w:r>
          </w:p>
        </w:tc>
        <w:tc>
          <w:tcPr>
            <w:tcW w:w="4415" w:type="dxa"/>
            <w:noWrap w:val="0"/>
            <w:vAlign w:val="top"/>
          </w:tcPr>
          <w:p w14:paraId="5432261B">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r w14:paraId="72BE1E61">
        <w:tblPrEx>
          <w:tblCellMar>
            <w:top w:w="0" w:type="dxa"/>
            <w:left w:w="108" w:type="dxa"/>
            <w:bottom w:w="0" w:type="dxa"/>
            <w:right w:w="108" w:type="dxa"/>
          </w:tblCellMar>
        </w:tblPrEx>
        <w:trPr>
          <w:trHeight w:val="562" w:hRule="atLeast"/>
        </w:trPr>
        <w:tc>
          <w:tcPr>
            <w:tcW w:w="4528" w:type="dxa"/>
            <w:noWrap w:val="0"/>
            <w:vAlign w:val="top"/>
          </w:tcPr>
          <w:p w14:paraId="769D529E">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采购中心负责人：</w:t>
            </w:r>
          </w:p>
        </w:tc>
        <w:tc>
          <w:tcPr>
            <w:tcW w:w="4415" w:type="dxa"/>
            <w:noWrap w:val="0"/>
            <w:vAlign w:val="top"/>
          </w:tcPr>
          <w:p w14:paraId="526F40BC">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r w14:paraId="2494A55B">
        <w:tblPrEx>
          <w:tblCellMar>
            <w:top w:w="0" w:type="dxa"/>
            <w:left w:w="108" w:type="dxa"/>
            <w:bottom w:w="0" w:type="dxa"/>
            <w:right w:w="108" w:type="dxa"/>
          </w:tblCellMar>
        </w:tblPrEx>
        <w:trPr>
          <w:trHeight w:val="562" w:hRule="atLeast"/>
        </w:trPr>
        <w:tc>
          <w:tcPr>
            <w:tcW w:w="4528" w:type="dxa"/>
            <w:noWrap w:val="0"/>
            <w:vAlign w:val="top"/>
          </w:tcPr>
          <w:p w14:paraId="4016ACD4">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采购中心经办人：</w:t>
            </w:r>
          </w:p>
        </w:tc>
        <w:tc>
          <w:tcPr>
            <w:tcW w:w="4415" w:type="dxa"/>
            <w:noWrap w:val="0"/>
            <w:vAlign w:val="top"/>
          </w:tcPr>
          <w:p w14:paraId="42800665">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r w14:paraId="0BC4222C">
        <w:tblPrEx>
          <w:tblCellMar>
            <w:top w:w="0" w:type="dxa"/>
            <w:left w:w="108" w:type="dxa"/>
            <w:bottom w:w="0" w:type="dxa"/>
            <w:right w:w="108" w:type="dxa"/>
          </w:tblCellMar>
        </w:tblPrEx>
        <w:trPr>
          <w:trHeight w:val="562" w:hRule="atLeast"/>
        </w:trPr>
        <w:tc>
          <w:tcPr>
            <w:tcW w:w="4528" w:type="dxa"/>
            <w:noWrap w:val="0"/>
            <w:vAlign w:val="top"/>
          </w:tcPr>
          <w:p w14:paraId="24464670">
            <w:pPr>
              <w:keepNext w:val="0"/>
              <w:keepLines w:val="0"/>
              <w:widowControl/>
              <w:suppressLineNumbers w:val="0"/>
              <w:spacing w:before="0" w:beforeAutospacing="0" w:after="0" w:afterAutospacing="0"/>
              <w:ind w:left="0" w:right="0"/>
              <w:rPr>
                <w:rFonts w:hint="default" w:cs="宋体"/>
                <w:b/>
                <w:bCs/>
                <w:color w:val="auto"/>
                <w:sz w:val="20"/>
                <w:szCs w:val="20"/>
                <w:highlight w:val="none"/>
                <w:lang w:val="en-US" w:bidi="ar"/>
              </w:rPr>
            </w:pPr>
            <w:r>
              <w:rPr>
                <w:rFonts w:hint="eastAsia" w:cs="宋体"/>
                <w:b/>
                <w:bCs/>
                <w:color w:val="auto"/>
                <w:sz w:val="20"/>
                <w:szCs w:val="20"/>
                <w:highlight w:val="none"/>
                <w:lang w:eastAsia="zh-CN" w:bidi="ar"/>
              </w:rPr>
              <w:t>联系电话：</w:t>
            </w:r>
            <w:r>
              <w:rPr>
                <w:rFonts w:hint="eastAsia" w:cs="宋体"/>
                <w:b/>
                <w:bCs/>
                <w:color w:val="auto"/>
                <w:sz w:val="20"/>
                <w:szCs w:val="20"/>
                <w:highlight w:val="none"/>
                <w:lang w:val="en-US" w:eastAsia="zh-CN" w:bidi="ar"/>
              </w:rPr>
              <w:t>020-38076626</w:t>
            </w:r>
          </w:p>
        </w:tc>
        <w:tc>
          <w:tcPr>
            <w:tcW w:w="4415" w:type="dxa"/>
            <w:noWrap w:val="0"/>
            <w:vAlign w:val="top"/>
          </w:tcPr>
          <w:p w14:paraId="78A45D22">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r w14:paraId="5A22E118">
        <w:tblPrEx>
          <w:tblCellMar>
            <w:top w:w="0" w:type="dxa"/>
            <w:left w:w="108" w:type="dxa"/>
            <w:bottom w:w="0" w:type="dxa"/>
            <w:right w:w="108" w:type="dxa"/>
          </w:tblCellMar>
        </w:tblPrEx>
        <w:trPr>
          <w:trHeight w:val="562" w:hRule="atLeast"/>
        </w:trPr>
        <w:tc>
          <w:tcPr>
            <w:tcW w:w="4528" w:type="dxa"/>
            <w:noWrap w:val="0"/>
            <w:vAlign w:val="top"/>
          </w:tcPr>
          <w:p w14:paraId="6829F4F6">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default"/>
                <w:b/>
                <w:bCs/>
                <w:color w:val="auto"/>
                <w:sz w:val="20"/>
                <w:szCs w:val="20"/>
                <w:highlight w:val="none"/>
              </w:rPr>
              <w:t>税务证登记地址：广州市人民中路318号</w:t>
            </w:r>
          </w:p>
        </w:tc>
        <w:tc>
          <w:tcPr>
            <w:tcW w:w="4415" w:type="dxa"/>
            <w:noWrap w:val="0"/>
            <w:vAlign w:val="top"/>
          </w:tcPr>
          <w:p w14:paraId="7F6DA2DA">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地</w:t>
            </w:r>
            <w:r>
              <w:rPr>
                <w:rFonts w:hint="default"/>
                <w:b/>
                <w:bCs/>
                <w:color w:val="auto"/>
                <w:sz w:val="20"/>
                <w:szCs w:val="20"/>
                <w:highlight w:val="none"/>
                <w:lang w:bidi="ar"/>
              </w:rPr>
              <w:t xml:space="preserve">   </w:t>
            </w:r>
            <w:r>
              <w:rPr>
                <w:rFonts w:hint="eastAsia" w:cs="宋体"/>
                <w:b/>
                <w:bCs/>
                <w:color w:val="auto"/>
                <w:sz w:val="20"/>
                <w:szCs w:val="20"/>
                <w:highlight w:val="none"/>
                <w:lang w:bidi="ar"/>
              </w:rPr>
              <w:t>址：</w:t>
            </w:r>
          </w:p>
        </w:tc>
      </w:tr>
      <w:tr w14:paraId="5CCF2584">
        <w:tblPrEx>
          <w:tblCellMar>
            <w:top w:w="0" w:type="dxa"/>
            <w:left w:w="108" w:type="dxa"/>
            <w:bottom w:w="0" w:type="dxa"/>
            <w:right w:w="108" w:type="dxa"/>
          </w:tblCellMar>
        </w:tblPrEx>
        <w:trPr>
          <w:trHeight w:val="562" w:hRule="atLeast"/>
        </w:trPr>
        <w:tc>
          <w:tcPr>
            <w:tcW w:w="4528" w:type="dxa"/>
            <w:noWrap w:val="0"/>
            <w:vAlign w:val="top"/>
          </w:tcPr>
          <w:p w14:paraId="11150F45">
            <w:pPr>
              <w:keepNext w:val="0"/>
              <w:keepLines w:val="0"/>
              <w:widowControl/>
              <w:suppressLineNumbers w:val="0"/>
              <w:spacing w:before="0" w:beforeAutospacing="0" w:after="0" w:afterAutospacing="0"/>
              <w:ind w:left="0" w:right="0"/>
              <w:rPr>
                <w:rFonts w:hint="default"/>
                <w:b/>
                <w:bCs/>
                <w:color w:val="auto"/>
                <w:sz w:val="20"/>
                <w:szCs w:val="20"/>
                <w:highlight w:val="none"/>
                <w:lang w:val="en-US" w:eastAsia="zh-CN"/>
              </w:rPr>
            </w:pPr>
            <w:r>
              <w:rPr>
                <w:rFonts w:hint="default"/>
                <w:b/>
                <w:bCs/>
                <w:color w:val="auto"/>
                <w:sz w:val="20"/>
                <w:szCs w:val="20"/>
                <w:highlight w:val="none"/>
                <w:lang w:val="en-US" w:eastAsia="zh-CN"/>
              </w:rPr>
              <w:t>财务部出纳: 020-38076029</w:t>
            </w:r>
          </w:p>
          <w:p w14:paraId="779FFBF3">
            <w:pPr>
              <w:keepNext w:val="0"/>
              <w:keepLines w:val="0"/>
              <w:widowControl/>
              <w:suppressLineNumbers w:val="0"/>
              <w:spacing w:before="0" w:beforeAutospacing="0" w:after="0" w:afterAutospacing="0"/>
              <w:ind w:left="0" w:right="0"/>
              <w:rPr>
                <w:rFonts w:hint="default"/>
                <w:b/>
                <w:bCs/>
                <w:color w:val="auto"/>
                <w:sz w:val="20"/>
                <w:szCs w:val="20"/>
                <w:highlight w:val="none"/>
              </w:rPr>
            </w:pPr>
          </w:p>
        </w:tc>
        <w:tc>
          <w:tcPr>
            <w:tcW w:w="4415" w:type="dxa"/>
            <w:noWrap w:val="0"/>
            <w:vAlign w:val="top"/>
          </w:tcPr>
          <w:p w14:paraId="4EB90991">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电</w:t>
            </w:r>
            <w:r>
              <w:rPr>
                <w:rFonts w:hint="default"/>
                <w:b/>
                <w:bCs/>
                <w:color w:val="auto"/>
                <w:sz w:val="20"/>
                <w:szCs w:val="20"/>
                <w:highlight w:val="none"/>
                <w:lang w:bidi="ar"/>
              </w:rPr>
              <w:t xml:space="preserve">    </w:t>
            </w:r>
            <w:r>
              <w:rPr>
                <w:rFonts w:hint="eastAsia" w:cs="宋体"/>
                <w:b/>
                <w:bCs/>
                <w:color w:val="auto"/>
                <w:sz w:val="20"/>
                <w:szCs w:val="20"/>
                <w:highlight w:val="none"/>
                <w:lang w:bidi="ar"/>
              </w:rPr>
              <w:t>话：</w:t>
            </w:r>
          </w:p>
        </w:tc>
      </w:tr>
      <w:tr w14:paraId="264C2633">
        <w:tblPrEx>
          <w:tblCellMar>
            <w:top w:w="0" w:type="dxa"/>
            <w:left w:w="108" w:type="dxa"/>
            <w:bottom w:w="0" w:type="dxa"/>
            <w:right w:w="108" w:type="dxa"/>
          </w:tblCellMar>
        </w:tblPrEx>
        <w:trPr>
          <w:trHeight w:val="562" w:hRule="atLeast"/>
        </w:trPr>
        <w:tc>
          <w:tcPr>
            <w:tcW w:w="4528" w:type="dxa"/>
            <w:noWrap w:val="0"/>
            <w:vAlign w:val="top"/>
          </w:tcPr>
          <w:p w14:paraId="7A601220">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统一社会信用代码：</w:t>
            </w:r>
            <w:r>
              <w:rPr>
                <w:rFonts w:hint="default"/>
                <w:b/>
                <w:bCs/>
                <w:color w:val="auto"/>
                <w:sz w:val="20"/>
                <w:szCs w:val="20"/>
                <w:highlight w:val="none"/>
                <w:lang w:bidi="ar"/>
              </w:rPr>
              <w:t>124401006832921365</w:t>
            </w:r>
          </w:p>
        </w:tc>
        <w:tc>
          <w:tcPr>
            <w:tcW w:w="4415" w:type="dxa"/>
            <w:noWrap w:val="0"/>
            <w:vAlign w:val="top"/>
          </w:tcPr>
          <w:p w14:paraId="10CE3A5A">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统一社会信用代码：</w:t>
            </w:r>
          </w:p>
          <w:p w14:paraId="26BF179C">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r w14:paraId="0A1924D2">
        <w:tblPrEx>
          <w:tblCellMar>
            <w:top w:w="0" w:type="dxa"/>
            <w:left w:w="108" w:type="dxa"/>
            <w:bottom w:w="0" w:type="dxa"/>
            <w:right w:w="108" w:type="dxa"/>
          </w:tblCellMar>
        </w:tblPrEx>
        <w:trPr>
          <w:trHeight w:val="562" w:hRule="atLeast"/>
        </w:trPr>
        <w:tc>
          <w:tcPr>
            <w:tcW w:w="4528" w:type="dxa"/>
            <w:noWrap w:val="0"/>
            <w:vAlign w:val="top"/>
          </w:tcPr>
          <w:p w14:paraId="306EC7B2">
            <w:pPr>
              <w:keepNext w:val="0"/>
              <w:keepLines w:val="0"/>
              <w:widowControl/>
              <w:suppressLineNumbers w:val="0"/>
              <w:spacing w:before="0" w:beforeAutospacing="0" w:after="0" w:afterAutospacing="0"/>
              <w:ind w:left="1004" w:right="0" w:hanging="1004" w:hangingChars="500"/>
              <w:rPr>
                <w:rFonts w:hint="default"/>
                <w:b/>
                <w:bCs/>
                <w:color w:val="auto"/>
                <w:sz w:val="20"/>
                <w:szCs w:val="20"/>
                <w:highlight w:val="none"/>
              </w:rPr>
            </w:pPr>
            <w:r>
              <w:rPr>
                <w:rFonts w:hint="eastAsia" w:cs="宋体"/>
                <w:b/>
                <w:bCs/>
                <w:color w:val="auto"/>
                <w:sz w:val="20"/>
                <w:szCs w:val="20"/>
                <w:highlight w:val="none"/>
                <w:lang w:bidi="ar"/>
              </w:rPr>
              <w:t>开户银行：中国建设银行股份有限公司广州人民中路支行</w:t>
            </w:r>
          </w:p>
        </w:tc>
        <w:tc>
          <w:tcPr>
            <w:tcW w:w="4415" w:type="dxa"/>
            <w:noWrap w:val="0"/>
            <w:vAlign w:val="top"/>
          </w:tcPr>
          <w:p w14:paraId="63C995BF">
            <w:pPr>
              <w:keepNext w:val="0"/>
              <w:keepLines w:val="0"/>
              <w:widowControl/>
              <w:suppressLineNumbers w:val="0"/>
              <w:snapToGrid w:val="0"/>
              <w:spacing w:before="120" w:beforeLines="50" w:beforeAutospacing="0" w:after="0" w:afterAutospacing="0" w:line="340" w:lineRule="exact"/>
              <w:ind w:left="0" w:right="0"/>
              <w:rPr>
                <w:rFonts w:hint="eastAsia" w:ascii="黑体" w:eastAsia="黑体"/>
                <w:b/>
                <w:bCs/>
                <w:color w:val="auto"/>
                <w:sz w:val="21"/>
                <w:szCs w:val="21"/>
                <w:highlight w:val="none"/>
              </w:rPr>
            </w:pPr>
            <w:r>
              <w:rPr>
                <w:rFonts w:hint="eastAsia" w:cs="宋体"/>
                <w:b/>
                <w:bCs/>
                <w:color w:val="auto"/>
                <w:sz w:val="20"/>
                <w:szCs w:val="20"/>
                <w:highlight w:val="none"/>
                <w:lang w:bidi="ar"/>
              </w:rPr>
              <w:t>开户银行：</w:t>
            </w:r>
            <w:r>
              <w:rPr>
                <w:rFonts w:hint="default" w:ascii="黑体" w:eastAsia="黑体"/>
                <w:b/>
                <w:bCs/>
                <w:color w:val="auto"/>
                <w:sz w:val="21"/>
                <w:szCs w:val="21"/>
                <w:highlight w:val="none"/>
              </w:rPr>
              <w:t>（</w:t>
            </w:r>
            <w:r>
              <w:rPr>
                <w:rFonts w:hint="eastAsia" w:ascii="黑体" w:eastAsia="黑体"/>
                <w:b/>
                <w:bCs/>
                <w:color w:val="auto"/>
                <w:sz w:val="21"/>
                <w:szCs w:val="21"/>
                <w:highlight w:val="none"/>
                <w:lang w:val="en-US" w:eastAsia="zh-Hans"/>
              </w:rPr>
              <w:t>如需融资</w:t>
            </w:r>
            <w:r>
              <w:rPr>
                <w:rFonts w:hint="default" w:ascii="黑体" w:eastAsia="黑体"/>
                <w:b/>
                <w:bCs/>
                <w:color w:val="auto"/>
                <w:sz w:val="21"/>
                <w:szCs w:val="21"/>
                <w:highlight w:val="none"/>
                <w:lang w:eastAsia="zh-Hans"/>
              </w:rPr>
              <w:t>，</w:t>
            </w:r>
            <w:r>
              <w:rPr>
                <w:rFonts w:hint="eastAsia" w:ascii="黑体" w:eastAsia="黑体"/>
                <w:b/>
                <w:bCs/>
                <w:color w:val="auto"/>
                <w:sz w:val="21"/>
                <w:szCs w:val="21"/>
                <w:highlight w:val="none"/>
                <w:lang w:val="en-US" w:eastAsia="zh-Hans"/>
              </w:rPr>
              <w:t>须提供融资对应信息</w:t>
            </w:r>
            <w:r>
              <w:rPr>
                <w:rFonts w:hint="default" w:ascii="黑体" w:eastAsia="黑体"/>
                <w:b/>
                <w:bCs/>
                <w:color w:val="auto"/>
                <w:sz w:val="21"/>
                <w:szCs w:val="21"/>
                <w:highlight w:val="none"/>
                <w:lang w:eastAsia="zh-Hans"/>
              </w:rPr>
              <w:t>）</w:t>
            </w:r>
          </w:p>
          <w:p w14:paraId="3B992618">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r w14:paraId="54FC9D79">
        <w:tblPrEx>
          <w:tblCellMar>
            <w:top w:w="0" w:type="dxa"/>
            <w:left w:w="108" w:type="dxa"/>
            <w:bottom w:w="0" w:type="dxa"/>
            <w:right w:w="108" w:type="dxa"/>
          </w:tblCellMar>
        </w:tblPrEx>
        <w:trPr>
          <w:trHeight w:val="562" w:hRule="atLeast"/>
        </w:trPr>
        <w:tc>
          <w:tcPr>
            <w:tcW w:w="4528" w:type="dxa"/>
            <w:noWrap w:val="0"/>
            <w:vAlign w:val="top"/>
          </w:tcPr>
          <w:p w14:paraId="180E0C8F">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账</w:t>
            </w:r>
            <w:r>
              <w:rPr>
                <w:rFonts w:hint="default"/>
                <w:b/>
                <w:bCs/>
                <w:color w:val="auto"/>
                <w:sz w:val="20"/>
                <w:szCs w:val="20"/>
                <w:highlight w:val="none"/>
                <w:lang w:bidi="ar"/>
              </w:rPr>
              <w:t xml:space="preserve">    </w:t>
            </w:r>
            <w:r>
              <w:rPr>
                <w:rFonts w:hint="eastAsia" w:cs="宋体"/>
                <w:b/>
                <w:bCs/>
                <w:color w:val="auto"/>
                <w:sz w:val="20"/>
                <w:szCs w:val="20"/>
                <w:highlight w:val="none"/>
                <w:lang w:bidi="ar"/>
              </w:rPr>
              <w:t>号：44001450104053000838</w:t>
            </w:r>
          </w:p>
        </w:tc>
        <w:tc>
          <w:tcPr>
            <w:tcW w:w="4415" w:type="dxa"/>
            <w:noWrap w:val="0"/>
            <w:vAlign w:val="top"/>
          </w:tcPr>
          <w:p w14:paraId="7154E3DC">
            <w:pPr>
              <w:keepNext w:val="0"/>
              <w:keepLines w:val="0"/>
              <w:widowControl/>
              <w:suppressLineNumbers w:val="0"/>
              <w:snapToGrid w:val="0"/>
              <w:spacing w:before="120" w:beforeLines="50" w:beforeAutospacing="0" w:after="0" w:afterAutospacing="0" w:line="340" w:lineRule="exact"/>
              <w:ind w:left="0" w:right="0"/>
              <w:rPr>
                <w:rFonts w:hint="eastAsia" w:ascii="黑体" w:eastAsia="黑体"/>
                <w:b/>
                <w:bCs/>
                <w:color w:val="auto"/>
                <w:sz w:val="21"/>
                <w:szCs w:val="21"/>
                <w:highlight w:val="none"/>
              </w:rPr>
            </w:pPr>
            <w:r>
              <w:rPr>
                <w:rFonts w:hint="eastAsia" w:cs="宋体"/>
                <w:b/>
                <w:bCs/>
                <w:color w:val="auto"/>
                <w:sz w:val="20"/>
                <w:szCs w:val="20"/>
                <w:highlight w:val="none"/>
                <w:lang w:bidi="ar"/>
              </w:rPr>
              <w:t>账</w:t>
            </w:r>
            <w:r>
              <w:rPr>
                <w:rFonts w:hint="default"/>
                <w:b/>
                <w:bCs/>
                <w:color w:val="auto"/>
                <w:sz w:val="20"/>
                <w:szCs w:val="20"/>
                <w:highlight w:val="none"/>
                <w:lang w:bidi="ar"/>
              </w:rPr>
              <w:t xml:space="preserve">    </w:t>
            </w:r>
            <w:r>
              <w:rPr>
                <w:rFonts w:hint="eastAsia" w:cs="宋体"/>
                <w:b/>
                <w:bCs/>
                <w:color w:val="auto"/>
                <w:sz w:val="20"/>
                <w:szCs w:val="20"/>
                <w:highlight w:val="none"/>
                <w:lang w:bidi="ar"/>
              </w:rPr>
              <w:t>号：</w:t>
            </w:r>
            <w:r>
              <w:rPr>
                <w:rFonts w:hint="default" w:ascii="黑体" w:eastAsia="黑体"/>
                <w:b/>
                <w:bCs/>
                <w:color w:val="auto"/>
                <w:sz w:val="21"/>
                <w:szCs w:val="21"/>
                <w:highlight w:val="none"/>
              </w:rPr>
              <w:t>（</w:t>
            </w:r>
            <w:r>
              <w:rPr>
                <w:rFonts w:hint="eastAsia" w:ascii="黑体" w:eastAsia="黑体"/>
                <w:b/>
                <w:bCs/>
                <w:color w:val="auto"/>
                <w:sz w:val="21"/>
                <w:szCs w:val="21"/>
                <w:highlight w:val="none"/>
                <w:lang w:val="en-US" w:eastAsia="zh-Hans"/>
              </w:rPr>
              <w:t>如需融资</w:t>
            </w:r>
            <w:r>
              <w:rPr>
                <w:rFonts w:hint="default" w:ascii="黑体" w:eastAsia="黑体"/>
                <w:b/>
                <w:bCs/>
                <w:color w:val="auto"/>
                <w:sz w:val="21"/>
                <w:szCs w:val="21"/>
                <w:highlight w:val="none"/>
                <w:lang w:eastAsia="zh-Hans"/>
              </w:rPr>
              <w:t>，</w:t>
            </w:r>
            <w:r>
              <w:rPr>
                <w:rFonts w:hint="eastAsia" w:ascii="黑体" w:eastAsia="黑体"/>
                <w:b/>
                <w:bCs/>
                <w:color w:val="auto"/>
                <w:sz w:val="21"/>
                <w:szCs w:val="21"/>
                <w:highlight w:val="none"/>
                <w:lang w:val="en-US" w:eastAsia="zh-Hans"/>
              </w:rPr>
              <w:t>须提供融资对应信息</w:t>
            </w:r>
            <w:r>
              <w:rPr>
                <w:rFonts w:hint="default" w:ascii="黑体" w:eastAsia="黑体"/>
                <w:b/>
                <w:bCs/>
                <w:color w:val="auto"/>
                <w:sz w:val="21"/>
                <w:szCs w:val="21"/>
                <w:highlight w:val="none"/>
                <w:lang w:eastAsia="zh-Hans"/>
              </w:rPr>
              <w:t>）</w:t>
            </w:r>
          </w:p>
          <w:p w14:paraId="017BD431">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r w14:paraId="5FA49635">
        <w:tblPrEx>
          <w:tblCellMar>
            <w:top w:w="0" w:type="dxa"/>
            <w:left w:w="108" w:type="dxa"/>
            <w:bottom w:w="0" w:type="dxa"/>
            <w:right w:w="108" w:type="dxa"/>
          </w:tblCellMar>
        </w:tblPrEx>
        <w:trPr>
          <w:trHeight w:val="562" w:hRule="atLeast"/>
        </w:trPr>
        <w:tc>
          <w:tcPr>
            <w:tcW w:w="4528" w:type="dxa"/>
            <w:noWrap w:val="0"/>
            <w:vAlign w:val="top"/>
          </w:tcPr>
          <w:p w14:paraId="48B7879D">
            <w:pPr>
              <w:keepNext w:val="0"/>
              <w:keepLines w:val="0"/>
              <w:widowControl/>
              <w:suppressLineNumbers w:val="0"/>
              <w:spacing w:before="0" w:beforeAutospacing="0" w:after="0" w:afterAutospacing="0"/>
              <w:ind w:left="0" w:right="0"/>
              <w:rPr>
                <w:rFonts w:hint="default"/>
                <w:b/>
                <w:bCs/>
                <w:color w:val="auto"/>
                <w:sz w:val="20"/>
                <w:szCs w:val="20"/>
                <w:highlight w:val="none"/>
              </w:rPr>
            </w:pPr>
            <w:r>
              <w:rPr>
                <w:rFonts w:hint="eastAsia" w:cs="宋体"/>
                <w:b/>
                <w:bCs/>
                <w:color w:val="auto"/>
                <w:sz w:val="20"/>
                <w:szCs w:val="20"/>
                <w:highlight w:val="none"/>
                <w:lang w:bidi="ar"/>
              </w:rPr>
              <w:t>签约日期：</w:t>
            </w:r>
            <w:r>
              <w:rPr>
                <w:rFonts w:hint="default"/>
                <w:b/>
                <w:bCs/>
                <w:color w:val="auto"/>
                <w:sz w:val="20"/>
                <w:szCs w:val="20"/>
                <w:highlight w:val="none"/>
                <w:lang w:bidi="ar"/>
              </w:rPr>
              <w:t xml:space="preserve">    </w:t>
            </w:r>
            <w:r>
              <w:rPr>
                <w:rFonts w:hint="eastAsia"/>
                <w:b/>
                <w:bCs/>
                <w:color w:val="auto"/>
                <w:sz w:val="20"/>
                <w:szCs w:val="20"/>
                <w:highlight w:val="none"/>
                <w:lang w:val="en-US" w:eastAsia="zh-CN" w:bidi="ar"/>
              </w:rPr>
              <w:t xml:space="preserve">   </w:t>
            </w:r>
            <w:r>
              <w:rPr>
                <w:rFonts w:hint="eastAsia" w:cs="宋体"/>
                <w:b/>
                <w:bCs/>
                <w:color w:val="auto"/>
                <w:sz w:val="20"/>
                <w:szCs w:val="20"/>
                <w:highlight w:val="none"/>
                <w:lang w:bidi="ar"/>
              </w:rPr>
              <w:t>年</w:t>
            </w:r>
            <w:r>
              <w:rPr>
                <w:rFonts w:hint="default"/>
                <w:b/>
                <w:bCs/>
                <w:color w:val="auto"/>
                <w:sz w:val="20"/>
                <w:szCs w:val="20"/>
                <w:highlight w:val="none"/>
                <w:lang w:bidi="ar"/>
              </w:rPr>
              <w:t xml:space="preserve">  </w:t>
            </w:r>
            <w:r>
              <w:rPr>
                <w:rFonts w:hint="eastAsia"/>
                <w:b/>
                <w:bCs/>
                <w:color w:val="auto"/>
                <w:sz w:val="20"/>
                <w:szCs w:val="20"/>
                <w:highlight w:val="none"/>
                <w:lang w:val="en-US" w:eastAsia="zh-CN" w:bidi="ar"/>
              </w:rPr>
              <w:t xml:space="preserve">  </w:t>
            </w:r>
            <w:r>
              <w:rPr>
                <w:rFonts w:hint="default"/>
                <w:b/>
                <w:bCs/>
                <w:color w:val="auto"/>
                <w:sz w:val="20"/>
                <w:szCs w:val="20"/>
                <w:highlight w:val="none"/>
                <w:lang w:bidi="ar"/>
              </w:rPr>
              <w:t xml:space="preserve">  </w:t>
            </w:r>
            <w:r>
              <w:rPr>
                <w:rFonts w:hint="eastAsia" w:cs="宋体"/>
                <w:b/>
                <w:bCs/>
                <w:color w:val="auto"/>
                <w:sz w:val="20"/>
                <w:szCs w:val="20"/>
                <w:highlight w:val="none"/>
                <w:lang w:bidi="ar"/>
              </w:rPr>
              <w:t>月</w:t>
            </w:r>
            <w:r>
              <w:rPr>
                <w:rFonts w:hint="default"/>
                <w:b/>
                <w:bCs/>
                <w:color w:val="auto"/>
                <w:sz w:val="20"/>
                <w:szCs w:val="20"/>
                <w:highlight w:val="none"/>
                <w:lang w:bidi="ar"/>
              </w:rPr>
              <w:t xml:space="preserve">    </w:t>
            </w:r>
            <w:r>
              <w:rPr>
                <w:rFonts w:hint="eastAsia"/>
                <w:b/>
                <w:bCs/>
                <w:color w:val="auto"/>
                <w:sz w:val="20"/>
                <w:szCs w:val="20"/>
                <w:highlight w:val="none"/>
                <w:lang w:val="en-US" w:eastAsia="zh-CN" w:bidi="ar"/>
              </w:rPr>
              <w:t xml:space="preserve"> </w:t>
            </w:r>
            <w:r>
              <w:rPr>
                <w:rFonts w:hint="eastAsia" w:cs="宋体"/>
                <w:b/>
                <w:bCs/>
                <w:color w:val="auto"/>
                <w:sz w:val="20"/>
                <w:szCs w:val="20"/>
                <w:highlight w:val="none"/>
                <w:lang w:bidi="ar"/>
              </w:rPr>
              <w:t>日</w:t>
            </w:r>
          </w:p>
        </w:tc>
        <w:tc>
          <w:tcPr>
            <w:tcW w:w="4415" w:type="dxa"/>
            <w:noWrap w:val="0"/>
            <w:vAlign w:val="top"/>
          </w:tcPr>
          <w:p w14:paraId="25CB436C">
            <w:pPr>
              <w:keepNext w:val="0"/>
              <w:keepLines w:val="0"/>
              <w:widowControl/>
              <w:suppressLineNumbers w:val="0"/>
              <w:spacing w:before="0" w:beforeAutospacing="0" w:after="0" w:afterAutospacing="0"/>
              <w:ind w:left="0" w:right="0"/>
              <w:rPr>
                <w:rFonts w:hint="default"/>
                <w:b/>
                <w:bCs/>
                <w:color w:val="auto"/>
                <w:sz w:val="20"/>
                <w:szCs w:val="20"/>
                <w:highlight w:val="none"/>
              </w:rPr>
            </w:pPr>
          </w:p>
        </w:tc>
      </w:tr>
    </w:tbl>
    <w:p w14:paraId="5788EE57">
      <w:pPr>
        <w:pStyle w:val="2"/>
        <w:pageBreakBefore/>
        <w:spacing w:before="0" w:after="0" w:line="360" w:lineRule="auto"/>
        <w:jc w:val="center"/>
        <w:rPr>
          <w:rFonts w:ascii="宋体" w:hAnsi="宋体" w:cs="宋体"/>
          <w:color w:val="auto"/>
          <w:sz w:val="44"/>
          <w:szCs w:val="44"/>
          <w:highlight w:val="none"/>
        </w:rPr>
      </w:pPr>
      <w:r>
        <w:rPr>
          <w:rFonts w:eastAsia="Times New Roman"/>
          <w:color w:val="auto"/>
          <w:sz w:val="24"/>
          <w:highlight w:val="none"/>
          <w:shd w:val="clear" w:color="auto" w:fill="FFFFFF"/>
        </w:rPr>
        <w:t xml:space="preserve"> </w:t>
      </w:r>
      <w:bookmarkStart w:id="1247" w:name="_Toc513112261"/>
      <w:bookmarkStart w:id="1248" w:name="_Toc508036188"/>
      <w:bookmarkStart w:id="1249" w:name="_Toc26760"/>
      <w:bookmarkStart w:id="1250" w:name="_Toc513631046"/>
      <w:bookmarkStart w:id="1251" w:name="_Toc528659989"/>
      <w:bookmarkStart w:id="1252" w:name="_Toc14503"/>
      <w:bookmarkStart w:id="1253" w:name="_Toc16588"/>
      <w:bookmarkStart w:id="1254" w:name="_Toc19489"/>
      <w:bookmarkStart w:id="1255" w:name="_Toc24380"/>
      <w:bookmarkStart w:id="1256" w:name="_Toc484599505"/>
      <w:bookmarkStart w:id="1257" w:name="_Toc28943"/>
      <w:bookmarkStart w:id="1258" w:name="_Toc18393"/>
      <w:bookmarkStart w:id="1259" w:name="_Toc535418409"/>
      <w:bookmarkStart w:id="1260" w:name="_Toc508619526"/>
      <w:bookmarkStart w:id="1261" w:name="_Toc535854432"/>
      <w:bookmarkStart w:id="1262" w:name="_Toc25171"/>
      <w:bookmarkStart w:id="1263" w:name="_Toc500260963"/>
      <w:bookmarkStart w:id="1264" w:name="_Toc16123"/>
      <w:bookmarkStart w:id="1265" w:name="_Toc19717"/>
      <w:bookmarkStart w:id="1266" w:name="_Toc511916225"/>
      <w:r>
        <w:rPr>
          <w:rFonts w:hint="eastAsia" w:ascii="宋体" w:hAnsi="宋体" w:cs="宋体"/>
          <w:color w:val="auto"/>
          <w:sz w:val="44"/>
          <w:szCs w:val="44"/>
          <w:highlight w:val="none"/>
        </w:rPr>
        <w:t xml:space="preserve">第六章 </w:t>
      </w:r>
      <w:r>
        <w:rPr>
          <w:rFonts w:hint="eastAsia" w:ascii="宋体" w:hAnsi="宋体" w:cs="宋体"/>
          <w:color w:val="auto"/>
          <w:sz w:val="44"/>
          <w:szCs w:val="44"/>
          <w:highlight w:val="none"/>
          <w:lang w:val="en-US" w:eastAsia="zh-CN"/>
        </w:rPr>
        <w:t xml:space="preserve"> </w:t>
      </w:r>
      <w:r>
        <w:rPr>
          <w:rFonts w:hint="eastAsia" w:ascii="宋体" w:hAnsi="宋体" w:cs="宋体"/>
          <w:color w:val="auto"/>
          <w:sz w:val="44"/>
          <w:szCs w:val="44"/>
          <w:highlight w:val="none"/>
        </w:rPr>
        <w:t>参选文件格式</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2C3896D3">
      <w:pPr>
        <w:spacing w:line="360" w:lineRule="auto"/>
        <w:rPr>
          <w:rFonts w:ascii="宋体" w:hAnsi="宋体" w:cs="宋体"/>
          <w:b/>
          <w:color w:val="auto"/>
          <w:highlight w:val="none"/>
        </w:rPr>
      </w:pPr>
    </w:p>
    <w:p w14:paraId="433C5B69">
      <w:pPr>
        <w:spacing w:line="360" w:lineRule="auto"/>
        <w:rPr>
          <w:rFonts w:ascii="宋体" w:hAnsi="宋体" w:cs="宋体"/>
          <w:b/>
          <w:color w:val="auto"/>
          <w:sz w:val="24"/>
          <w:szCs w:val="24"/>
          <w:highlight w:val="none"/>
        </w:rPr>
      </w:pPr>
    </w:p>
    <w:p w14:paraId="64E6C9DB">
      <w:pPr>
        <w:pStyle w:val="12"/>
        <w:spacing w:line="360" w:lineRule="auto"/>
        <w:jc w:val="center"/>
        <w:rPr>
          <w:rFonts w:hAnsi="宋体" w:cs="宋体"/>
          <w:b/>
          <w:color w:val="auto"/>
          <w:highlight w:val="none"/>
        </w:rPr>
      </w:pPr>
    </w:p>
    <w:p w14:paraId="4BDDDA6D">
      <w:pPr>
        <w:pStyle w:val="12"/>
        <w:tabs>
          <w:tab w:val="left" w:pos="1260"/>
        </w:tabs>
        <w:spacing w:line="360" w:lineRule="auto"/>
        <w:jc w:val="center"/>
        <w:rPr>
          <w:rFonts w:hAnsi="宋体" w:cs="宋体"/>
          <w:b/>
          <w:color w:val="auto"/>
          <w:spacing w:val="100"/>
          <w:w w:val="110"/>
          <w:sz w:val="48"/>
          <w:szCs w:val="48"/>
          <w:highlight w:val="none"/>
        </w:rPr>
      </w:pPr>
      <w:r>
        <w:rPr>
          <w:rFonts w:hint="eastAsia" w:hAnsi="宋体" w:cs="宋体"/>
          <w:b/>
          <w:color w:val="auto"/>
          <w:spacing w:val="100"/>
          <w:w w:val="110"/>
          <w:sz w:val="48"/>
          <w:szCs w:val="48"/>
          <w:highlight w:val="none"/>
        </w:rPr>
        <w:t>参选文件</w:t>
      </w:r>
    </w:p>
    <w:p w14:paraId="0AB8FFF1">
      <w:pPr>
        <w:pStyle w:val="12"/>
        <w:spacing w:line="360" w:lineRule="auto"/>
        <w:jc w:val="center"/>
        <w:outlineLvl w:val="1"/>
        <w:rPr>
          <w:rFonts w:hAnsi="宋体" w:cs="宋体"/>
          <w:b/>
          <w:color w:val="auto"/>
          <w:sz w:val="36"/>
          <w:szCs w:val="36"/>
          <w:highlight w:val="none"/>
        </w:rPr>
      </w:pPr>
      <w:bookmarkStart w:id="1267" w:name="_Toc12877"/>
      <w:bookmarkStart w:id="1268" w:name="_Toc19261"/>
      <w:bookmarkStart w:id="1269" w:name="_Toc10812"/>
      <w:bookmarkStart w:id="1270" w:name="_Toc13215"/>
      <w:r>
        <w:rPr>
          <w:rFonts w:hint="eastAsia" w:hAnsi="宋体" w:cs="宋体"/>
          <w:b/>
          <w:color w:val="auto"/>
          <w:sz w:val="36"/>
          <w:szCs w:val="36"/>
          <w:highlight w:val="none"/>
        </w:rPr>
        <w:t>（正本/副本）</w:t>
      </w:r>
      <w:bookmarkEnd w:id="1267"/>
      <w:bookmarkEnd w:id="1268"/>
      <w:bookmarkEnd w:id="1269"/>
      <w:bookmarkEnd w:id="1270"/>
    </w:p>
    <w:p w14:paraId="1C2A7AB5">
      <w:pPr>
        <w:pStyle w:val="12"/>
        <w:spacing w:line="360" w:lineRule="auto"/>
        <w:jc w:val="center"/>
        <w:rPr>
          <w:rFonts w:hAnsi="宋体" w:cs="宋体"/>
          <w:b/>
          <w:color w:val="auto"/>
          <w:highlight w:val="none"/>
        </w:rPr>
      </w:pPr>
    </w:p>
    <w:p w14:paraId="47692DBA">
      <w:pPr>
        <w:pStyle w:val="12"/>
        <w:spacing w:line="360" w:lineRule="auto"/>
        <w:jc w:val="center"/>
        <w:rPr>
          <w:rFonts w:hAnsi="宋体" w:cs="宋体"/>
          <w:b/>
          <w:color w:val="auto"/>
          <w:highlight w:val="none"/>
        </w:rPr>
      </w:pPr>
    </w:p>
    <w:p w14:paraId="388815C9">
      <w:pPr>
        <w:pStyle w:val="12"/>
        <w:spacing w:line="360" w:lineRule="auto"/>
        <w:jc w:val="center"/>
        <w:rPr>
          <w:rFonts w:hAnsi="宋体" w:cs="宋体"/>
          <w:b/>
          <w:color w:val="auto"/>
          <w:highlight w:val="none"/>
        </w:rPr>
      </w:pPr>
    </w:p>
    <w:p w14:paraId="205C67E7">
      <w:pPr>
        <w:pStyle w:val="12"/>
        <w:spacing w:line="360" w:lineRule="auto"/>
        <w:jc w:val="center"/>
        <w:rPr>
          <w:rFonts w:hAnsi="宋体" w:cs="宋体"/>
          <w:b/>
          <w:color w:val="auto"/>
          <w:highlight w:val="none"/>
        </w:rPr>
      </w:pPr>
    </w:p>
    <w:p w14:paraId="29EF024C">
      <w:pPr>
        <w:pStyle w:val="11"/>
        <w:spacing w:after="0" w:line="360" w:lineRule="auto"/>
        <w:ind w:firstLine="967" w:firstLineChars="344"/>
        <w:rPr>
          <w:rFonts w:ascii="宋体" w:hAnsi="宋体" w:cs="宋体"/>
          <w:b/>
          <w:color w:val="auto"/>
          <w:sz w:val="28"/>
          <w:szCs w:val="28"/>
          <w:highlight w:val="none"/>
          <w:u w:val="single"/>
        </w:rPr>
      </w:pPr>
      <w:r>
        <w:rPr>
          <w:rFonts w:hint="eastAsia" w:ascii="宋体" w:hAnsi="宋体" w:cs="宋体"/>
          <w:b/>
          <w:color w:val="auto"/>
          <w:sz w:val="28"/>
          <w:szCs w:val="28"/>
          <w:highlight w:val="none"/>
        </w:rPr>
        <w:t>项目名称：</w:t>
      </w:r>
    </w:p>
    <w:p w14:paraId="65707CE0">
      <w:pPr>
        <w:pStyle w:val="12"/>
        <w:spacing w:line="360" w:lineRule="auto"/>
        <w:ind w:firstLine="1383" w:firstLineChars="492"/>
        <w:rPr>
          <w:rFonts w:hAnsi="宋体" w:cs="宋体"/>
          <w:b/>
          <w:color w:val="auto"/>
          <w:sz w:val="28"/>
          <w:szCs w:val="28"/>
          <w:highlight w:val="none"/>
          <w:u w:val="thick"/>
        </w:rPr>
      </w:pPr>
      <w:r>
        <w:rPr>
          <w:rFonts w:hint="eastAsia" w:hAnsi="宋体" w:cs="宋体"/>
          <w:b/>
          <w:color w:val="auto"/>
          <w:sz w:val="28"/>
          <w:szCs w:val="28"/>
          <w:highlight w:val="none"/>
        </w:rPr>
        <w:t>项目编号：</w:t>
      </w:r>
    </w:p>
    <w:p w14:paraId="3495F1FE">
      <w:pPr>
        <w:pStyle w:val="12"/>
        <w:spacing w:line="360" w:lineRule="auto"/>
        <w:ind w:firstLine="632" w:firstLineChars="300"/>
        <w:rPr>
          <w:rFonts w:hAnsi="宋体" w:cs="宋体"/>
          <w:b/>
          <w:color w:val="auto"/>
          <w:highlight w:val="none"/>
        </w:rPr>
      </w:pPr>
    </w:p>
    <w:p w14:paraId="1E99F69A">
      <w:pPr>
        <w:pStyle w:val="12"/>
        <w:spacing w:line="360" w:lineRule="auto"/>
        <w:ind w:firstLine="632" w:firstLineChars="300"/>
        <w:rPr>
          <w:rFonts w:hAnsi="宋体" w:cs="宋体"/>
          <w:b/>
          <w:color w:val="auto"/>
          <w:highlight w:val="none"/>
        </w:rPr>
      </w:pPr>
    </w:p>
    <w:p w14:paraId="6D514BF7">
      <w:pPr>
        <w:pStyle w:val="12"/>
        <w:spacing w:line="360" w:lineRule="auto"/>
        <w:ind w:firstLine="632" w:firstLineChars="300"/>
        <w:rPr>
          <w:rFonts w:hAnsi="宋体" w:cs="宋体"/>
          <w:b/>
          <w:color w:val="auto"/>
          <w:highlight w:val="none"/>
        </w:rPr>
      </w:pPr>
    </w:p>
    <w:p w14:paraId="3E7C3F7D">
      <w:pPr>
        <w:pStyle w:val="12"/>
        <w:spacing w:line="360" w:lineRule="auto"/>
        <w:ind w:firstLine="632" w:firstLineChars="300"/>
        <w:rPr>
          <w:rFonts w:hAnsi="宋体" w:cs="宋体"/>
          <w:b/>
          <w:color w:val="auto"/>
          <w:highlight w:val="none"/>
        </w:rPr>
      </w:pPr>
    </w:p>
    <w:p w14:paraId="06D5679B">
      <w:pPr>
        <w:pStyle w:val="12"/>
        <w:spacing w:line="360" w:lineRule="auto"/>
        <w:ind w:firstLine="632" w:firstLineChars="300"/>
        <w:rPr>
          <w:rFonts w:hAnsi="宋体" w:cs="宋体"/>
          <w:b/>
          <w:color w:val="auto"/>
          <w:highlight w:val="none"/>
        </w:rPr>
      </w:pPr>
    </w:p>
    <w:p w14:paraId="1791DD4D">
      <w:pPr>
        <w:pStyle w:val="11"/>
        <w:spacing w:after="0" w:line="360" w:lineRule="auto"/>
        <w:ind w:firstLine="967" w:firstLineChars="344"/>
        <w:rPr>
          <w:rFonts w:ascii="宋体" w:hAnsi="宋体" w:cs="宋体"/>
          <w:b/>
          <w:color w:val="auto"/>
          <w:sz w:val="28"/>
          <w:szCs w:val="28"/>
          <w:highlight w:val="none"/>
        </w:rPr>
      </w:pPr>
      <w:r>
        <w:rPr>
          <w:rFonts w:hint="eastAsia" w:ascii="宋体" w:hAnsi="宋体" w:cs="宋体"/>
          <w:b/>
          <w:color w:val="auto"/>
          <w:sz w:val="28"/>
          <w:szCs w:val="28"/>
          <w:highlight w:val="none"/>
        </w:rPr>
        <w:t>参选人名称（加盖公章）：</w:t>
      </w:r>
    </w:p>
    <w:p w14:paraId="72B72482">
      <w:pPr>
        <w:pStyle w:val="11"/>
        <w:spacing w:after="0" w:line="360" w:lineRule="auto"/>
        <w:ind w:firstLine="967" w:firstLineChars="344"/>
        <w:rPr>
          <w:rFonts w:ascii="宋体" w:hAnsi="宋体" w:cs="宋体"/>
          <w:b/>
          <w:color w:val="auto"/>
          <w:sz w:val="28"/>
          <w:szCs w:val="28"/>
          <w:highlight w:val="none"/>
        </w:rPr>
      </w:pPr>
      <w:r>
        <w:rPr>
          <w:rFonts w:hint="eastAsia" w:ascii="宋体" w:hAnsi="宋体" w:cs="宋体"/>
          <w:b/>
          <w:color w:val="auto"/>
          <w:sz w:val="28"/>
          <w:szCs w:val="28"/>
          <w:highlight w:val="none"/>
        </w:rPr>
        <w:t>参选人地址：</w:t>
      </w:r>
    </w:p>
    <w:p w14:paraId="442CD92E">
      <w:pPr>
        <w:pStyle w:val="11"/>
        <w:spacing w:after="0" w:line="360" w:lineRule="auto"/>
        <w:ind w:firstLine="967" w:firstLineChars="344"/>
        <w:rPr>
          <w:rFonts w:ascii="宋体" w:hAnsi="宋体" w:cs="宋体"/>
          <w:b/>
          <w:color w:val="auto"/>
          <w:sz w:val="28"/>
          <w:szCs w:val="28"/>
          <w:highlight w:val="none"/>
        </w:rPr>
      </w:pPr>
      <w:r>
        <w:rPr>
          <w:rFonts w:hint="eastAsia" w:ascii="宋体" w:hAnsi="宋体" w:cs="宋体"/>
          <w:b/>
          <w:color w:val="auto"/>
          <w:sz w:val="28"/>
          <w:szCs w:val="28"/>
          <w:highlight w:val="none"/>
        </w:rPr>
        <w:t>联 系 人：</w:t>
      </w:r>
    </w:p>
    <w:p w14:paraId="2DB22D5A">
      <w:pPr>
        <w:pStyle w:val="11"/>
        <w:spacing w:after="0" w:line="360" w:lineRule="auto"/>
        <w:ind w:firstLine="967" w:firstLineChars="344"/>
        <w:rPr>
          <w:rFonts w:ascii="宋体" w:hAnsi="宋体" w:cs="宋体"/>
          <w:b/>
          <w:color w:val="auto"/>
          <w:sz w:val="28"/>
          <w:szCs w:val="28"/>
          <w:highlight w:val="none"/>
        </w:rPr>
      </w:pPr>
      <w:r>
        <w:rPr>
          <w:rFonts w:hint="eastAsia" w:ascii="宋体" w:hAnsi="宋体" w:cs="宋体"/>
          <w:b/>
          <w:color w:val="auto"/>
          <w:sz w:val="28"/>
          <w:szCs w:val="28"/>
          <w:highlight w:val="none"/>
        </w:rPr>
        <w:t>联系电话（手机/固话）：</w:t>
      </w:r>
    </w:p>
    <w:p w14:paraId="202E1398">
      <w:pPr>
        <w:pStyle w:val="11"/>
        <w:spacing w:after="0" w:line="360" w:lineRule="auto"/>
        <w:ind w:firstLine="967" w:firstLineChars="344"/>
        <w:rPr>
          <w:rFonts w:ascii="宋体" w:hAnsi="宋体" w:cs="宋体"/>
          <w:b/>
          <w:color w:val="auto"/>
          <w:sz w:val="28"/>
          <w:szCs w:val="28"/>
          <w:highlight w:val="none"/>
        </w:rPr>
      </w:pPr>
      <w:r>
        <w:rPr>
          <w:rFonts w:hint="eastAsia" w:ascii="宋体" w:hAnsi="宋体" w:cs="宋体"/>
          <w:b/>
          <w:color w:val="auto"/>
          <w:sz w:val="28"/>
          <w:szCs w:val="28"/>
          <w:highlight w:val="none"/>
        </w:rPr>
        <w:t>电子邮箱：</w:t>
      </w:r>
    </w:p>
    <w:p w14:paraId="425909C6">
      <w:pPr>
        <w:pStyle w:val="11"/>
        <w:spacing w:after="0" w:line="360" w:lineRule="auto"/>
        <w:ind w:firstLine="967" w:firstLineChars="344"/>
        <w:rPr>
          <w:rFonts w:ascii="宋体" w:hAnsi="宋体" w:cs="宋体"/>
          <w:b/>
          <w:color w:val="auto"/>
          <w:sz w:val="28"/>
          <w:szCs w:val="28"/>
          <w:highlight w:val="none"/>
        </w:rPr>
      </w:pPr>
    </w:p>
    <w:p w14:paraId="38695023">
      <w:pPr>
        <w:pStyle w:val="11"/>
        <w:spacing w:after="0" w:line="360" w:lineRule="auto"/>
        <w:ind w:left="0" w:leftChars="0"/>
        <w:jc w:val="center"/>
        <w:rPr>
          <w:rFonts w:ascii="宋体" w:hAnsi="宋体" w:cs="宋体"/>
          <w:b/>
          <w:color w:val="auto"/>
          <w:sz w:val="28"/>
          <w:szCs w:val="28"/>
          <w:highlight w:val="none"/>
          <w:u w:val="single"/>
        </w:rPr>
      </w:pPr>
      <w:r>
        <w:rPr>
          <w:rFonts w:hint="eastAsia" w:ascii="宋体" w:hAnsi="宋体" w:cs="宋体"/>
          <w:b/>
          <w:color w:val="auto"/>
          <w:sz w:val="28"/>
          <w:szCs w:val="28"/>
          <w:highlight w:val="none"/>
        </w:rPr>
        <w:t>日  期：   年   月   日</w:t>
      </w:r>
    </w:p>
    <w:p w14:paraId="6838B659">
      <w:pPr>
        <w:autoSpaceDE w:val="0"/>
        <w:autoSpaceDN w:val="0"/>
        <w:spacing w:line="360" w:lineRule="auto"/>
        <w:ind w:firstLine="992" w:firstLineChars="353"/>
        <w:rPr>
          <w:rFonts w:ascii="宋体" w:hAnsi="宋体" w:cs="宋体"/>
          <w:b/>
          <w:color w:val="auto"/>
          <w:sz w:val="28"/>
          <w:szCs w:val="28"/>
          <w:highlight w:val="none"/>
          <w:u w:val="single"/>
        </w:rPr>
      </w:pPr>
    </w:p>
    <w:p w14:paraId="1B42745F">
      <w:pPr>
        <w:spacing w:before="0" w:beforeLines="0" w:after="0" w:afterLines="0" w:line="240" w:lineRule="auto"/>
        <w:ind w:left="0" w:leftChars="0" w:right="0" w:rightChars="0" w:firstLine="0" w:firstLineChars="0"/>
        <w:jc w:val="center"/>
        <w:rPr>
          <w:color w:val="auto"/>
          <w:sz w:val="32"/>
          <w:szCs w:val="32"/>
          <w:highlight w:val="none"/>
        </w:rPr>
      </w:pPr>
      <w:r>
        <w:rPr>
          <w:rFonts w:ascii="宋体" w:hAnsi="宋体" w:eastAsia="宋体"/>
          <w:color w:val="auto"/>
          <w:sz w:val="32"/>
          <w:szCs w:val="32"/>
          <w:highlight w:val="none"/>
        </w:rPr>
        <w:t>目</w:t>
      </w:r>
      <w:r>
        <w:rPr>
          <w:rFonts w:hint="eastAsia" w:ascii="宋体" w:hAnsi="宋体" w:eastAsia="宋体"/>
          <w:color w:val="auto"/>
          <w:sz w:val="32"/>
          <w:szCs w:val="32"/>
          <w:highlight w:val="none"/>
          <w:lang w:val="en-US" w:eastAsia="zh-CN"/>
        </w:rPr>
        <w:t xml:space="preserve">  </w:t>
      </w:r>
      <w:r>
        <w:rPr>
          <w:rFonts w:ascii="宋体" w:hAnsi="宋体" w:eastAsia="宋体"/>
          <w:color w:val="auto"/>
          <w:sz w:val="32"/>
          <w:szCs w:val="32"/>
          <w:highlight w:val="none"/>
        </w:rPr>
        <w:t>录</w:t>
      </w:r>
    </w:p>
    <w:p w14:paraId="0A424631">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TOC \o "1-2" \h \u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_Toc29747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 xml:space="preserve">1. </w:t>
      </w:r>
      <w:r>
        <w:rPr>
          <w:rFonts w:hint="eastAsia" w:ascii="宋体" w:hAnsi="宋体" w:eastAsia="宋体" w:cs="宋体"/>
          <w:color w:val="auto"/>
          <w:szCs w:val="21"/>
          <w:highlight w:val="none"/>
        </w:rPr>
        <w:t>自查表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_Toc29747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F40B128">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_Toc1704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 xml:space="preserve">2. </w:t>
      </w:r>
      <w:r>
        <w:rPr>
          <w:rFonts w:hint="eastAsia" w:ascii="宋体" w:hAnsi="宋体" w:eastAsia="宋体" w:cs="宋体"/>
          <w:color w:val="auto"/>
          <w:szCs w:val="21"/>
          <w:highlight w:val="none"/>
        </w:rPr>
        <w:t>报价表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_Toc1704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5E96D43">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_Toc13480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 xml:space="preserve">3. </w:t>
      </w:r>
      <w:r>
        <w:rPr>
          <w:rFonts w:hint="eastAsia" w:ascii="宋体" w:hAnsi="宋体" w:eastAsia="宋体" w:cs="宋体"/>
          <w:bCs/>
          <w:color w:val="auto"/>
          <w:szCs w:val="21"/>
          <w:highlight w:val="none"/>
        </w:rPr>
        <w:t>参选函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_Toc13480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075FA56">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_Toc5946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val="en-US" w:eastAsia="zh-CN"/>
        </w:rPr>
        <w:t xml:space="preserve">4. </w:t>
      </w:r>
      <w:r>
        <w:rPr>
          <w:rFonts w:hint="eastAsia" w:ascii="宋体" w:hAnsi="宋体" w:eastAsia="宋体" w:cs="宋体"/>
          <w:color w:val="auto"/>
          <w:szCs w:val="21"/>
          <w:highlight w:val="none"/>
        </w:rPr>
        <w:t>资格性审查证明文件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_Toc5946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E07B2C7">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_Toc5057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lang w:val="en-US" w:eastAsia="zh-CN"/>
        </w:rPr>
        <w:t xml:space="preserve">5. </w:t>
      </w:r>
      <w:r>
        <w:rPr>
          <w:rFonts w:hint="eastAsia" w:ascii="宋体" w:hAnsi="宋体" w:eastAsia="宋体" w:cs="宋体"/>
          <w:bCs/>
          <w:color w:val="auto"/>
          <w:highlight w:val="none"/>
        </w:rPr>
        <w:t>其他资格证明文件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_Toc5057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397F49B">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_Toc13228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21"/>
          <w:highlight w:val="none"/>
          <w:lang w:val="en-US" w:eastAsia="zh-CN" w:bidi="ar-SA"/>
        </w:rPr>
        <w:t xml:space="preserve">6. </w:t>
      </w:r>
      <w:r>
        <w:rPr>
          <w:rFonts w:hint="eastAsia" w:ascii="宋体" w:hAnsi="宋体" w:eastAsia="宋体" w:cs="宋体"/>
          <w:bCs w:val="0"/>
          <w:color w:val="auto"/>
          <w:szCs w:val="21"/>
          <w:highlight w:val="none"/>
        </w:rPr>
        <w:t>同类项目用户合作业绩介绍</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_Toc13228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C937BB2">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_Toc19675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21"/>
          <w:highlight w:val="none"/>
          <w:lang w:val="en-US" w:eastAsia="zh-CN" w:bidi="ar-SA"/>
        </w:rPr>
        <w:t xml:space="preserve">7. </w:t>
      </w:r>
      <w:r>
        <w:rPr>
          <w:rFonts w:hint="eastAsia" w:ascii="宋体" w:hAnsi="宋体" w:eastAsia="宋体" w:cs="宋体"/>
          <w:bCs w:val="0"/>
          <w:color w:val="auto"/>
          <w:szCs w:val="21"/>
          <w:highlight w:val="none"/>
        </w:rPr>
        <w:t>采购需求</w:t>
      </w:r>
      <w:r>
        <w:rPr>
          <w:rFonts w:hint="eastAsia" w:ascii="宋体" w:hAnsi="宋体" w:eastAsia="宋体" w:cs="宋体"/>
          <w:bCs w:val="0"/>
          <w:color w:val="auto"/>
          <w:szCs w:val="24"/>
          <w:highlight w:val="none"/>
        </w:rPr>
        <w:t>非实质性条款响应表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_Toc19675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AA4FCEA">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_Toc10794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 xml:space="preserve">8. </w:t>
      </w:r>
      <w:r>
        <w:rPr>
          <w:rFonts w:hint="eastAsia" w:ascii="宋体" w:hAnsi="宋体" w:eastAsia="宋体" w:cs="宋体"/>
          <w:bCs/>
          <w:color w:val="auto"/>
          <w:szCs w:val="21"/>
          <w:highlight w:val="none"/>
        </w:rPr>
        <w:t>实施计划</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_Toc10794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64F4984">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_Toc7320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21"/>
          <w:highlight w:val="none"/>
          <w:lang w:val="en-US" w:eastAsia="zh-CN" w:bidi="ar-SA"/>
        </w:rPr>
        <w:t xml:space="preserve">9. </w:t>
      </w:r>
      <w:r>
        <w:rPr>
          <w:rFonts w:hint="eastAsia" w:ascii="宋体" w:hAnsi="宋体" w:eastAsia="宋体" w:cs="宋体"/>
          <w:bCs/>
          <w:color w:val="auto"/>
          <w:szCs w:val="21"/>
          <w:highlight w:val="none"/>
        </w:rPr>
        <w:t>参选人认为有必要说明的其他资料</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_Toc7320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8C47186">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_Toc22382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 xml:space="preserve">10. </w:t>
      </w:r>
      <w:r>
        <w:rPr>
          <w:rFonts w:hint="eastAsia" w:ascii="宋体" w:hAnsi="宋体" w:eastAsia="宋体" w:cs="宋体"/>
          <w:bCs/>
          <w:color w:val="auto"/>
          <w:szCs w:val="21"/>
          <w:highlight w:val="none"/>
        </w:rPr>
        <w:t>中选服务费支付承诺书格式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_Toc22382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64334BE">
      <w:pPr>
        <w:pStyle w:val="17"/>
        <w:keepNext w:val="0"/>
        <w:keepLines w:val="0"/>
        <w:pageBreakBefore w:val="0"/>
        <w:widowControl/>
        <w:tabs>
          <w:tab w:val="right" w:leader="dot" w:pos="8530"/>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_Toc7418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1. 参选</w:t>
      </w:r>
      <w:r>
        <w:rPr>
          <w:rFonts w:hint="eastAsia" w:ascii="宋体" w:hAnsi="宋体" w:eastAsia="宋体" w:cs="宋体"/>
          <w:color w:val="auto"/>
          <w:szCs w:val="21"/>
          <w:highlight w:val="none"/>
        </w:rPr>
        <w:t>保证金交纳凭证</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_Toc7418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27C9306">
      <w:pPr>
        <w:pStyle w:val="17"/>
        <w:keepNext w:val="0"/>
        <w:keepLines w:val="0"/>
        <w:pageBreakBefore w:val="0"/>
        <w:widowControl/>
        <w:tabs>
          <w:tab w:val="right" w:leader="dot" w:pos="8530"/>
        </w:tabs>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_Toc9435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12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 xml:space="preserve"> 《退</w:t>
      </w:r>
      <w:r>
        <w:rPr>
          <w:rFonts w:hint="eastAsia" w:ascii="宋体" w:hAnsi="宋体" w:eastAsia="宋体" w:cs="宋体"/>
          <w:color w:val="auto"/>
          <w:szCs w:val="21"/>
          <w:highlight w:val="none"/>
          <w:lang w:eastAsia="zh-CN"/>
        </w:rPr>
        <w:t>参选</w:t>
      </w:r>
      <w:r>
        <w:rPr>
          <w:rFonts w:hint="eastAsia" w:ascii="宋体" w:hAnsi="宋体" w:eastAsia="宋体" w:cs="宋体"/>
          <w:color w:val="auto"/>
          <w:szCs w:val="21"/>
          <w:highlight w:val="none"/>
        </w:rPr>
        <w:t>保证金说明》</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_Toc9435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E2FF21C">
      <w:pPr>
        <w:pStyle w:val="18"/>
        <w:keepNext w:val="0"/>
        <w:keepLines w:val="0"/>
        <w:pageBreakBefore w:val="0"/>
        <w:widowControl/>
        <w:tabs>
          <w:tab w:val="right" w:leader="dot" w:pos="8530"/>
          <w:tab w:val="clear" w:pos="9402"/>
        </w:tabs>
        <w:kinsoku/>
        <w:wordWrap/>
        <w:overflowPunct/>
        <w:topLinePunct w:val="0"/>
        <w:autoSpaceDE/>
        <w:autoSpaceDN/>
        <w:bidi w:val="0"/>
        <w:adjustRightInd/>
        <w:snapToGrid/>
        <w:spacing w:line="360" w:lineRule="auto"/>
        <w:ind w:left="497" w:leftChars="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_Toc5022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 xml:space="preserve">13. </w:t>
      </w:r>
      <w:r>
        <w:rPr>
          <w:rFonts w:hint="eastAsia" w:ascii="宋体" w:hAnsi="宋体" w:eastAsia="宋体" w:cs="宋体"/>
          <w:bCs/>
          <w:color w:val="auto"/>
          <w:szCs w:val="21"/>
          <w:highlight w:val="none"/>
        </w:rPr>
        <w:t>询问函、质疑函格式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_Toc5022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3A047A6">
      <w:pPr>
        <w:keepNext w:val="0"/>
        <w:keepLines w:val="0"/>
        <w:pageBreakBefore w:val="0"/>
        <w:widowControl/>
        <w:tabs>
          <w:tab w:val="right" w:leader="dot" w:pos="7980"/>
        </w:tabs>
        <w:kinsoku/>
        <w:wordWrap/>
        <w:overflowPunct/>
        <w:topLinePunct w:val="0"/>
        <w:autoSpaceDE/>
        <w:autoSpaceDN/>
        <w:bidi w:val="0"/>
        <w:adjustRightInd/>
        <w:snapToGrid/>
        <w:spacing w:line="360" w:lineRule="auto"/>
        <w:ind w:left="0" w:leftChars="0"/>
        <w:textAlignment w:val="auto"/>
        <w:rPr>
          <w:b/>
          <w:color w:val="auto"/>
          <w:highlight w:val="none"/>
        </w:rPr>
      </w:pPr>
      <w:r>
        <w:rPr>
          <w:rFonts w:hint="eastAsia" w:ascii="宋体" w:hAnsi="宋体" w:eastAsia="宋体" w:cs="宋体"/>
          <w:color w:val="auto"/>
          <w:highlight w:val="none"/>
        </w:rPr>
        <w:fldChar w:fldCharType="end"/>
      </w:r>
    </w:p>
    <w:p w14:paraId="094CB2FC">
      <w:pPr>
        <w:pStyle w:val="4"/>
        <w:keepLines w:val="0"/>
        <w:widowControl w:val="0"/>
        <w:numPr>
          <w:ilvl w:val="0"/>
          <w:numId w:val="0"/>
        </w:numPr>
        <w:tabs>
          <w:tab w:val="left" w:pos="851"/>
        </w:tabs>
        <w:adjustRightInd/>
        <w:snapToGrid/>
        <w:spacing w:line="360" w:lineRule="auto"/>
        <w:ind w:left="851" w:leftChars="0" w:hanging="851" w:firstLineChars="0"/>
        <w:jc w:val="both"/>
        <w:rPr>
          <w:rFonts w:ascii="宋体" w:hAnsi="宋体" w:eastAsia="宋体" w:cs="宋体"/>
          <w:b/>
          <w:bCs w:val="0"/>
          <w:color w:val="auto"/>
          <w:sz w:val="21"/>
          <w:szCs w:val="21"/>
          <w:highlight w:val="none"/>
          <w:lang w:val="en-US" w:eastAsia="zh-CN" w:bidi="ar-SA"/>
        </w:rPr>
      </w:pPr>
    </w:p>
    <w:p w14:paraId="29B6B96A">
      <w:pPr>
        <w:pStyle w:val="4"/>
        <w:keepLines w:val="0"/>
        <w:widowControl w:val="0"/>
        <w:numPr>
          <w:ilvl w:val="0"/>
          <w:numId w:val="0"/>
        </w:numPr>
        <w:tabs>
          <w:tab w:val="left" w:pos="851"/>
        </w:tabs>
        <w:adjustRightInd/>
        <w:snapToGrid/>
        <w:spacing w:line="360" w:lineRule="auto"/>
        <w:ind w:left="851" w:leftChars="0" w:hanging="851" w:firstLineChars="0"/>
        <w:jc w:val="both"/>
        <w:rPr>
          <w:rFonts w:hAnsi="宋体" w:cs="宋体"/>
          <w:b/>
          <w:color w:val="auto"/>
          <w:sz w:val="21"/>
          <w:szCs w:val="21"/>
          <w:highlight w:val="none"/>
        </w:rPr>
      </w:pPr>
      <w:r>
        <w:rPr>
          <w:rFonts w:hint="eastAsia" w:hAnsi="宋体" w:cs="宋体"/>
          <w:b/>
          <w:bCs/>
          <w:color w:val="auto"/>
          <w:sz w:val="21"/>
          <w:szCs w:val="21"/>
          <w:highlight w:val="none"/>
        </w:rPr>
        <w:br w:type="page"/>
      </w:r>
      <w:bookmarkStart w:id="1271" w:name="_Toc28978"/>
      <w:bookmarkStart w:id="1272" w:name="_Toc8089"/>
      <w:bookmarkStart w:id="1273" w:name="_Toc511293856"/>
      <w:bookmarkStart w:id="1274" w:name="_Toc29747"/>
      <w:bookmarkStart w:id="1275" w:name="_Toc22603"/>
      <w:bookmarkStart w:id="1276" w:name="_Toc522036004"/>
      <w:bookmarkStart w:id="1277" w:name="_Toc484599506"/>
      <w:bookmarkStart w:id="1278" w:name="_Toc513630884"/>
      <w:bookmarkStart w:id="1279" w:name="_Toc23509"/>
      <w:bookmarkStart w:id="1280" w:name="_Toc6692"/>
      <w:bookmarkStart w:id="1281" w:name="_Toc500260806"/>
      <w:bookmarkStart w:id="1282" w:name="_Toc26129"/>
      <w:bookmarkStart w:id="1283" w:name="_Toc508619364"/>
      <w:bookmarkStart w:id="1284" w:name="_Toc508036024"/>
      <w:bookmarkStart w:id="1285" w:name="_Toc6358"/>
      <w:bookmarkStart w:id="1286" w:name="_Toc513112100"/>
      <w:bookmarkStart w:id="1287" w:name="_Toc510104790"/>
      <w:bookmarkStart w:id="1288" w:name="_Toc528659812"/>
      <w:bookmarkStart w:id="1289" w:name="_Toc535418262"/>
      <w:r>
        <w:rPr>
          <w:rFonts w:hint="eastAsia" w:hAnsi="宋体" w:cs="宋体"/>
          <w:b/>
          <w:bCs/>
          <w:color w:val="auto"/>
          <w:sz w:val="21"/>
          <w:szCs w:val="21"/>
          <w:highlight w:val="none"/>
          <w:lang w:val="en-US" w:eastAsia="zh-CN"/>
        </w:rPr>
        <w:t xml:space="preserve">1. </w:t>
      </w:r>
      <w:r>
        <w:rPr>
          <w:rFonts w:hint="eastAsia" w:hAnsi="宋体" w:cs="宋体"/>
          <w:b/>
          <w:color w:val="auto"/>
          <w:sz w:val="21"/>
          <w:szCs w:val="21"/>
          <w:highlight w:val="none"/>
        </w:rPr>
        <w:t>自查表</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72587D04">
      <w:pPr>
        <w:tabs>
          <w:tab w:val="left" w:pos="851"/>
        </w:tabs>
        <w:spacing w:line="360" w:lineRule="auto"/>
        <w:rPr>
          <w:rFonts w:ascii="宋体" w:hAnsi="宋体" w:cs="宋体"/>
          <w:color w:val="auto"/>
          <w:highlight w:val="none"/>
        </w:rPr>
      </w:pPr>
      <w:r>
        <w:rPr>
          <w:rFonts w:hint="eastAsia" w:ascii="宋体" w:hAnsi="宋体" w:cs="宋体"/>
          <w:color w:val="auto"/>
          <w:highlight w:val="none"/>
        </w:rPr>
        <w:t>1.1资格性自查表</w:t>
      </w:r>
    </w:p>
    <w:tbl>
      <w:tblPr>
        <w:tblStyle w:val="24"/>
        <w:tblW w:w="9572"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859"/>
        <w:gridCol w:w="6163"/>
        <w:gridCol w:w="1190"/>
        <w:gridCol w:w="1360"/>
      </w:tblGrid>
      <w:tr w14:paraId="5B1C964C">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23" w:hRule="atLeast"/>
          <w:jc w:val="center"/>
        </w:trPr>
        <w:tc>
          <w:tcPr>
            <w:tcW w:w="859" w:type="dxa"/>
            <w:tcBorders>
              <w:top w:val="outset" w:color="111111" w:sz="6" w:space="0"/>
              <w:left w:val="outset" w:color="111111" w:sz="6" w:space="0"/>
              <w:bottom w:val="outset" w:color="111111" w:sz="6" w:space="0"/>
              <w:right w:val="outset" w:color="111111" w:sz="6" w:space="0"/>
            </w:tcBorders>
            <w:vAlign w:val="center"/>
          </w:tcPr>
          <w:p w14:paraId="780682F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评审内容</w:t>
            </w:r>
          </w:p>
        </w:tc>
        <w:tc>
          <w:tcPr>
            <w:tcW w:w="6163" w:type="dxa"/>
            <w:tcBorders>
              <w:top w:val="outset" w:color="111111" w:sz="6" w:space="0"/>
              <w:left w:val="outset" w:color="111111" w:sz="6" w:space="0"/>
              <w:bottom w:val="outset" w:color="111111" w:sz="6" w:space="0"/>
              <w:right w:val="outset" w:color="111111" w:sz="6" w:space="0"/>
            </w:tcBorders>
            <w:vAlign w:val="center"/>
          </w:tcPr>
          <w:p w14:paraId="21511FDA">
            <w:pPr>
              <w:keepNext w:val="0"/>
              <w:keepLines w:val="0"/>
              <w:widowControl/>
              <w:suppressLineNumbers w:val="0"/>
              <w:spacing w:before="0" w:beforeAutospacing="0" w:after="0" w:afterAutospacing="0" w:line="360" w:lineRule="auto"/>
              <w:ind w:left="0" w:right="0"/>
              <w:jc w:val="center"/>
              <w:rPr>
                <w:rStyle w:val="27"/>
                <w:rFonts w:hint="default" w:ascii="宋体" w:hAnsi="宋体" w:cs="宋体"/>
                <w:color w:val="auto"/>
                <w:highlight w:val="none"/>
              </w:rPr>
            </w:pPr>
            <w:r>
              <w:rPr>
                <w:rStyle w:val="27"/>
                <w:rFonts w:hint="eastAsia" w:ascii="宋体" w:hAnsi="宋体" w:cs="宋体"/>
                <w:color w:val="auto"/>
                <w:highlight w:val="none"/>
              </w:rPr>
              <w:t>遴选文件要求</w:t>
            </w:r>
          </w:p>
          <w:p w14:paraId="4D9B2C3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（详见《资格性审查表》各项）</w:t>
            </w:r>
          </w:p>
        </w:tc>
        <w:tc>
          <w:tcPr>
            <w:tcW w:w="1190" w:type="dxa"/>
            <w:tcBorders>
              <w:top w:val="outset" w:color="111111" w:sz="6" w:space="0"/>
              <w:left w:val="outset" w:color="111111" w:sz="6" w:space="0"/>
              <w:bottom w:val="outset" w:color="111111" w:sz="6" w:space="0"/>
              <w:right w:val="outset" w:color="111111" w:sz="6" w:space="0"/>
            </w:tcBorders>
            <w:vAlign w:val="center"/>
          </w:tcPr>
          <w:p w14:paraId="0424325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自查结论</w:t>
            </w:r>
          </w:p>
        </w:tc>
        <w:tc>
          <w:tcPr>
            <w:tcW w:w="1360" w:type="dxa"/>
            <w:tcBorders>
              <w:top w:val="outset" w:color="111111" w:sz="6" w:space="0"/>
              <w:left w:val="outset" w:color="111111" w:sz="6" w:space="0"/>
              <w:bottom w:val="outset" w:color="111111" w:sz="6" w:space="0"/>
              <w:right w:val="outset" w:color="111111" w:sz="6" w:space="0"/>
            </w:tcBorders>
            <w:vAlign w:val="center"/>
          </w:tcPr>
          <w:p w14:paraId="5553E12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证明资料</w:t>
            </w:r>
          </w:p>
        </w:tc>
      </w:tr>
      <w:tr w14:paraId="163AF8A1">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859" w:type="dxa"/>
            <w:vMerge w:val="restart"/>
            <w:tcBorders>
              <w:top w:val="outset" w:color="111111" w:sz="6" w:space="0"/>
              <w:left w:val="outset" w:color="111111" w:sz="6" w:space="0"/>
              <w:right w:val="outset" w:color="111111" w:sz="6" w:space="0"/>
            </w:tcBorders>
            <w:vAlign w:val="center"/>
          </w:tcPr>
          <w:p w14:paraId="667E5151">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r>
              <w:rPr>
                <w:rFonts w:hint="eastAsia"/>
                <w:color w:val="auto"/>
                <w:sz w:val="21"/>
                <w:szCs w:val="21"/>
                <w:highlight w:val="none"/>
              </w:rPr>
              <w:t>资格性审查</w:t>
            </w:r>
          </w:p>
        </w:tc>
        <w:tc>
          <w:tcPr>
            <w:tcW w:w="6163" w:type="dxa"/>
            <w:tcBorders>
              <w:top w:val="outset" w:color="111111" w:sz="6" w:space="0"/>
              <w:left w:val="outset" w:color="111111" w:sz="6" w:space="0"/>
              <w:bottom w:val="outset" w:color="111111" w:sz="6" w:space="0"/>
              <w:right w:val="outset" w:color="111111" w:sz="6" w:space="0"/>
            </w:tcBorders>
            <w:vAlign w:val="center"/>
          </w:tcPr>
          <w:p w14:paraId="09C75EB1">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1、参选人具备《政府采购法》第二十二条所规定的条件：</w:t>
            </w:r>
          </w:p>
          <w:p w14:paraId="34CA027A">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1.1参选人必须是具有独立承担民事责任能力的在中华人民共和国境内注册的法人或其他组织或自然人（提交有效的营业执照（或事业法人登记证等相关证明）副本复印件）；</w:t>
            </w:r>
          </w:p>
          <w:p w14:paraId="2D55C8DA">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1.2参选人有依法缴纳税收和社会保障资金的良好记录（提供</w:t>
            </w:r>
            <w:r>
              <w:rPr>
                <w:rFonts w:hint="eastAsia" w:ascii="宋体" w:hAnsi="宋体" w:cs="宋体"/>
                <w:color w:val="auto"/>
                <w:highlight w:val="none"/>
                <w:lang w:eastAsia="zh-CN"/>
              </w:rPr>
              <w:t>资格</w:t>
            </w:r>
            <w:r>
              <w:rPr>
                <w:rFonts w:hint="eastAsia" w:ascii="宋体" w:hAnsi="宋体" w:cs="宋体"/>
                <w:color w:val="auto"/>
                <w:highlight w:val="none"/>
              </w:rPr>
              <w:t>声明函）。</w:t>
            </w:r>
          </w:p>
          <w:p w14:paraId="47FDE0C4">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1.3参选人具有良好的商业信誉和健全的财务会计制度（提供</w:t>
            </w:r>
            <w:r>
              <w:rPr>
                <w:rFonts w:hint="eastAsia" w:ascii="宋体" w:hAnsi="宋体" w:cs="宋体"/>
                <w:color w:val="auto"/>
                <w:highlight w:val="none"/>
                <w:lang w:eastAsia="zh-CN"/>
              </w:rPr>
              <w:t>资格</w:t>
            </w:r>
            <w:r>
              <w:rPr>
                <w:rFonts w:hint="eastAsia" w:ascii="宋体" w:hAnsi="宋体" w:cs="宋体"/>
                <w:color w:val="auto"/>
                <w:highlight w:val="none"/>
              </w:rPr>
              <w:t>声明函）。</w:t>
            </w:r>
          </w:p>
          <w:p w14:paraId="77E819E8">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1.4参选人具有履行合同所必需的设备和专业技术能力（提供</w:t>
            </w:r>
            <w:r>
              <w:rPr>
                <w:rFonts w:hint="eastAsia" w:ascii="宋体" w:hAnsi="宋体" w:cs="宋体"/>
                <w:color w:val="auto"/>
                <w:highlight w:val="none"/>
                <w:lang w:eastAsia="zh-CN"/>
              </w:rPr>
              <w:t>资格</w:t>
            </w:r>
            <w:r>
              <w:rPr>
                <w:rFonts w:hint="eastAsia" w:ascii="宋体" w:hAnsi="宋体" w:cs="宋体"/>
                <w:color w:val="auto"/>
                <w:highlight w:val="none"/>
              </w:rPr>
              <w:t>声明函）。</w:t>
            </w:r>
          </w:p>
          <w:p w14:paraId="1A364EAD">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1.5参选人参加本次采购活动前三年内，在经营活动中没有重大违法记录（提供声明函）。重大违法记录，是指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14:paraId="64FA3C21">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1.6参选人必须符合法律、行政法规规定的其他条件（提供</w:t>
            </w:r>
            <w:r>
              <w:rPr>
                <w:rFonts w:hint="eastAsia" w:ascii="宋体" w:hAnsi="宋体" w:cs="宋体"/>
                <w:color w:val="auto"/>
                <w:highlight w:val="none"/>
                <w:lang w:eastAsia="zh-CN"/>
              </w:rPr>
              <w:t>资格</w:t>
            </w:r>
            <w:r>
              <w:rPr>
                <w:rFonts w:hint="eastAsia" w:ascii="宋体" w:hAnsi="宋体" w:cs="宋体"/>
                <w:color w:val="auto"/>
                <w:highlight w:val="none"/>
              </w:rPr>
              <w:t>声明函）。</w:t>
            </w:r>
          </w:p>
        </w:tc>
        <w:tc>
          <w:tcPr>
            <w:tcW w:w="1190" w:type="dxa"/>
            <w:tcBorders>
              <w:top w:val="outset" w:color="111111" w:sz="6" w:space="0"/>
              <w:left w:val="outset" w:color="111111" w:sz="6" w:space="0"/>
              <w:bottom w:val="outset" w:color="111111" w:sz="6" w:space="0"/>
              <w:right w:val="outset" w:color="111111" w:sz="6" w:space="0"/>
            </w:tcBorders>
            <w:vAlign w:val="center"/>
          </w:tcPr>
          <w:p w14:paraId="2B2727F1">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 xml:space="preserve">□通过 </w:t>
            </w:r>
          </w:p>
          <w:p w14:paraId="1F7DAF45">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360" w:type="dxa"/>
            <w:tcBorders>
              <w:top w:val="outset" w:color="111111" w:sz="6" w:space="0"/>
              <w:left w:val="outset" w:color="111111" w:sz="6" w:space="0"/>
              <w:bottom w:val="outset" w:color="111111" w:sz="6" w:space="0"/>
              <w:right w:val="outset" w:color="111111" w:sz="6" w:space="0"/>
            </w:tcBorders>
            <w:vAlign w:val="center"/>
          </w:tcPr>
          <w:p w14:paraId="630A53A6">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2CD5F2E7">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393" w:hRule="atLeast"/>
          <w:jc w:val="center"/>
        </w:trPr>
        <w:tc>
          <w:tcPr>
            <w:tcW w:w="859" w:type="dxa"/>
            <w:vMerge w:val="continue"/>
            <w:tcBorders>
              <w:left w:val="outset" w:color="111111" w:sz="6" w:space="0"/>
              <w:right w:val="outset" w:color="111111" w:sz="6" w:space="0"/>
            </w:tcBorders>
            <w:vAlign w:val="center"/>
          </w:tcPr>
          <w:p w14:paraId="659AE636">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p>
        </w:tc>
        <w:tc>
          <w:tcPr>
            <w:tcW w:w="6163" w:type="dxa"/>
            <w:tcBorders>
              <w:top w:val="outset" w:color="111111" w:sz="6" w:space="0"/>
              <w:left w:val="outset" w:color="111111" w:sz="6" w:space="0"/>
              <w:bottom w:val="outset" w:color="111111" w:sz="6" w:space="0"/>
              <w:right w:val="outset" w:color="111111" w:sz="6" w:space="0"/>
            </w:tcBorders>
            <w:vAlign w:val="center"/>
          </w:tcPr>
          <w:p w14:paraId="22377B7D">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2、本项目不接受联合体参选，不允许分包、转包（提供</w:t>
            </w:r>
            <w:r>
              <w:rPr>
                <w:rFonts w:hint="eastAsia" w:ascii="宋体" w:hAnsi="宋体" w:cs="宋体"/>
                <w:color w:val="auto"/>
                <w:highlight w:val="none"/>
                <w:lang w:eastAsia="zh-CN"/>
              </w:rPr>
              <w:t>资格</w:t>
            </w:r>
            <w:r>
              <w:rPr>
                <w:rFonts w:hint="eastAsia" w:ascii="宋体" w:hAnsi="宋体" w:cs="宋体"/>
                <w:color w:val="auto"/>
                <w:highlight w:val="none"/>
              </w:rPr>
              <w:t>声明函）。</w:t>
            </w:r>
          </w:p>
        </w:tc>
        <w:tc>
          <w:tcPr>
            <w:tcW w:w="1190" w:type="dxa"/>
            <w:tcBorders>
              <w:top w:val="outset" w:color="111111" w:sz="6" w:space="0"/>
              <w:left w:val="outset" w:color="111111" w:sz="6" w:space="0"/>
              <w:bottom w:val="outset" w:color="111111" w:sz="6" w:space="0"/>
              <w:right w:val="outset" w:color="111111" w:sz="6" w:space="0"/>
            </w:tcBorders>
            <w:vAlign w:val="center"/>
          </w:tcPr>
          <w:p w14:paraId="6D17CDC5">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 xml:space="preserve">□通过 </w:t>
            </w:r>
          </w:p>
          <w:p w14:paraId="46A09CF7">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360" w:type="dxa"/>
            <w:tcBorders>
              <w:top w:val="outset" w:color="111111" w:sz="6" w:space="0"/>
              <w:left w:val="outset" w:color="111111" w:sz="6" w:space="0"/>
              <w:bottom w:val="outset" w:color="111111" w:sz="6" w:space="0"/>
              <w:right w:val="outset" w:color="111111" w:sz="6" w:space="0"/>
            </w:tcBorders>
            <w:vAlign w:val="center"/>
          </w:tcPr>
          <w:p w14:paraId="700E814A">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34703E05">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73" w:hRule="atLeast"/>
          <w:jc w:val="center"/>
        </w:trPr>
        <w:tc>
          <w:tcPr>
            <w:tcW w:w="859" w:type="dxa"/>
            <w:vMerge w:val="continue"/>
            <w:tcBorders>
              <w:left w:val="outset" w:color="111111" w:sz="6" w:space="0"/>
              <w:right w:val="outset" w:color="111111" w:sz="6" w:space="0"/>
            </w:tcBorders>
            <w:vAlign w:val="center"/>
          </w:tcPr>
          <w:p w14:paraId="257FD483">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p>
        </w:tc>
        <w:tc>
          <w:tcPr>
            <w:tcW w:w="6163" w:type="dxa"/>
            <w:tcBorders>
              <w:top w:val="outset" w:color="111111" w:sz="6" w:space="0"/>
              <w:left w:val="outset" w:color="111111" w:sz="6" w:space="0"/>
              <w:bottom w:val="outset" w:color="111111" w:sz="6" w:space="0"/>
              <w:right w:val="outset" w:color="111111" w:sz="6" w:space="0"/>
            </w:tcBorders>
            <w:vAlign w:val="center"/>
          </w:tcPr>
          <w:p w14:paraId="11FC5F53">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3、参选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采购代理机构将于参选截止日当天在“信用中国”网站（www.creditchina.gov.cn）及中国政府采购网(www.ccgp.gov.cn)上查询相关信息。如查询结果未发现失信行为，视为评审时参选人符合本款要求）</w:t>
            </w:r>
          </w:p>
        </w:tc>
        <w:tc>
          <w:tcPr>
            <w:tcW w:w="1190" w:type="dxa"/>
            <w:tcBorders>
              <w:top w:val="outset" w:color="111111" w:sz="6" w:space="0"/>
              <w:left w:val="outset" w:color="111111" w:sz="6" w:space="0"/>
              <w:bottom w:val="outset" w:color="111111" w:sz="6" w:space="0"/>
              <w:right w:val="outset" w:color="111111" w:sz="6" w:space="0"/>
            </w:tcBorders>
            <w:vAlign w:val="center"/>
          </w:tcPr>
          <w:p w14:paraId="66B00048">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 xml:space="preserve">□通过 </w:t>
            </w:r>
          </w:p>
          <w:p w14:paraId="188BD173">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360" w:type="dxa"/>
            <w:tcBorders>
              <w:top w:val="outset" w:color="111111" w:sz="6" w:space="0"/>
              <w:left w:val="outset" w:color="111111" w:sz="6" w:space="0"/>
              <w:bottom w:val="outset" w:color="111111" w:sz="6" w:space="0"/>
              <w:right w:val="outset" w:color="111111" w:sz="6" w:space="0"/>
            </w:tcBorders>
            <w:vAlign w:val="center"/>
          </w:tcPr>
          <w:p w14:paraId="67924F96">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543A45E3">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73" w:hRule="atLeast"/>
          <w:jc w:val="center"/>
        </w:trPr>
        <w:tc>
          <w:tcPr>
            <w:tcW w:w="859" w:type="dxa"/>
            <w:vMerge w:val="continue"/>
            <w:tcBorders>
              <w:left w:val="outset" w:color="111111" w:sz="6" w:space="0"/>
              <w:right w:val="outset" w:color="111111" w:sz="6" w:space="0"/>
            </w:tcBorders>
            <w:vAlign w:val="center"/>
          </w:tcPr>
          <w:p w14:paraId="33CC456A">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p>
        </w:tc>
        <w:tc>
          <w:tcPr>
            <w:tcW w:w="6163" w:type="dxa"/>
            <w:tcBorders>
              <w:top w:val="outset" w:color="111111" w:sz="6" w:space="0"/>
              <w:left w:val="outset" w:color="111111" w:sz="6" w:space="0"/>
              <w:bottom w:val="outset" w:color="111111" w:sz="6" w:space="0"/>
              <w:right w:val="outset" w:color="111111" w:sz="6" w:space="0"/>
            </w:tcBorders>
            <w:vAlign w:val="center"/>
          </w:tcPr>
          <w:p w14:paraId="7733FCD5">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ascii="宋体" w:hAnsi="宋体" w:cs="宋体"/>
                <w:color w:val="auto"/>
                <w:highlight w:val="none"/>
              </w:rPr>
              <w:t>4、单位负责人为同一人或者存在直接控股、管理关系的不同参选人，不得参加同一合同项下的采购活动。（提供</w:t>
            </w:r>
            <w:r>
              <w:rPr>
                <w:rFonts w:hint="eastAsia" w:ascii="宋体" w:hAnsi="宋体" w:cs="宋体"/>
                <w:color w:val="auto"/>
                <w:highlight w:val="none"/>
                <w:lang w:eastAsia="zh-CN"/>
              </w:rPr>
              <w:t>资格</w:t>
            </w:r>
            <w:r>
              <w:rPr>
                <w:rFonts w:hint="eastAsia" w:ascii="宋体" w:hAnsi="宋体" w:cs="宋体"/>
                <w:color w:val="auto"/>
                <w:highlight w:val="none"/>
              </w:rPr>
              <w:t>声明函）</w:t>
            </w:r>
          </w:p>
        </w:tc>
        <w:tc>
          <w:tcPr>
            <w:tcW w:w="1190" w:type="dxa"/>
            <w:tcBorders>
              <w:top w:val="outset" w:color="111111" w:sz="6" w:space="0"/>
              <w:left w:val="outset" w:color="111111" w:sz="6" w:space="0"/>
              <w:bottom w:val="outset" w:color="111111" w:sz="6" w:space="0"/>
              <w:right w:val="outset" w:color="111111" w:sz="6" w:space="0"/>
            </w:tcBorders>
            <w:vAlign w:val="center"/>
          </w:tcPr>
          <w:p w14:paraId="0BD77FDA">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 xml:space="preserve">□通过 </w:t>
            </w:r>
          </w:p>
          <w:p w14:paraId="554CEEB7">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360" w:type="dxa"/>
            <w:tcBorders>
              <w:top w:val="outset" w:color="111111" w:sz="6" w:space="0"/>
              <w:left w:val="outset" w:color="111111" w:sz="6" w:space="0"/>
              <w:bottom w:val="outset" w:color="111111" w:sz="6" w:space="0"/>
              <w:right w:val="outset" w:color="111111" w:sz="6" w:space="0"/>
            </w:tcBorders>
            <w:vAlign w:val="center"/>
          </w:tcPr>
          <w:p w14:paraId="561BE475">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3678AC4A">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73" w:hRule="atLeast"/>
          <w:jc w:val="center"/>
        </w:trPr>
        <w:tc>
          <w:tcPr>
            <w:tcW w:w="859" w:type="dxa"/>
            <w:vMerge w:val="continue"/>
            <w:tcBorders>
              <w:left w:val="outset" w:color="111111" w:sz="6" w:space="0"/>
              <w:right w:val="outset" w:color="111111" w:sz="6" w:space="0"/>
            </w:tcBorders>
            <w:vAlign w:val="center"/>
          </w:tcPr>
          <w:p w14:paraId="528B074B">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p>
        </w:tc>
        <w:tc>
          <w:tcPr>
            <w:tcW w:w="6163" w:type="dxa"/>
            <w:tcBorders>
              <w:top w:val="outset" w:color="111111" w:sz="6" w:space="0"/>
              <w:left w:val="outset" w:color="111111" w:sz="6" w:space="0"/>
              <w:bottom w:val="outset" w:color="111111" w:sz="6" w:space="0"/>
              <w:right w:val="outset" w:color="111111" w:sz="6" w:space="0"/>
            </w:tcBorders>
            <w:vAlign w:val="center"/>
          </w:tcPr>
          <w:p w14:paraId="260ABAD4">
            <w:pPr>
              <w:keepNext w:val="0"/>
              <w:keepLines w:val="0"/>
              <w:widowControl/>
              <w:suppressLineNumbers w:val="0"/>
              <w:spacing w:before="0" w:beforeAutospacing="0" w:after="0" w:afterAutospacing="0" w:line="360" w:lineRule="auto"/>
              <w:ind w:left="0" w:right="0"/>
              <w:jc w:val="both"/>
              <w:rPr>
                <w:rFonts w:hint="eastAsia" w:ascii="宋体" w:hAnsi="宋体" w:cs="宋体"/>
                <w:color w:val="auto"/>
                <w:highlight w:val="none"/>
              </w:rPr>
            </w:pPr>
            <w:r>
              <w:rPr>
                <w:rFonts w:hint="eastAsia" w:ascii="宋体" w:hAnsi="宋体" w:cs="宋体"/>
                <w:color w:val="auto"/>
                <w:highlight w:val="none"/>
              </w:rPr>
              <w:t>5、为采购项目提供整体设计、规范编制或者项目管理、监理、检测等服务的参选人，不得再参加该采购项目的其他采购活动。（提供</w:t>
            </w:r>
            <w:r>
              <w:rPr>
                <w:rFonts w:hint="eastAsia" w:ascii="宋体" w:hAnsi="宋体" w:cs="宋体"/>
                <w:color w:val="auto"/>
                <w:highlight w:val="none"/>
                <w:lang w:eastAsia="zh-CN"/>
              </w:rPr>
              <w:t>资格</w:t>
            </w:r>
            <w:r>
              <w:rPr>
                <w:rFonts w:hint="eastAsia" w:ascii="宋体" w:hAnsi="宋体" w:cs="宋体"/>
                <w:color w:val="auto"/>
                <w:highlight w:val="none"/>
              </w:rPr>
              <w:t>声明函）</w:t>
            </w:r>
          </w:p>
        </w:tc>
        <w:tc>
          <w:tcPr>
            <w:tcW w:w="1190" w:type="dxa"/>
            <w:tcBorders>
              <w:top w:val="outset" w:color="111111" w:sz="6" w:space="0"/>
              <w:left w:val="outset" w:color="111111" w:sz="6" w:space="0"/>
              <w:bottom w:val="outset" w:color="111111" w:sz="6" w:space="0"/>
              <w:right w:val="outset" w:color="111111" w:sz="6" w:space="0"/>
            </w:tcBorders>
            <w:vAlign w:val="center"/>
          </w:tcPr>
          <w:p w14:paraId="1EA7E3C5">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 xml:space="preserve">□通过 </w:t>
            </w:r>
          </w:p>
          <w:p w14:paraId="5928339E">
            <w:pPr>
              <w:keepNext w:val="0"/>
              <w:keepLines w:val="0"/>
              <w:widowControl/>
              <w:suppressLineNumbers w:val="0"/>
              <w:spacing w:before="0" w:beforeAutospacing="0" w:after="0" w:afterAutospacing="0" w:line="360" w:lineRule="auto"/>
              <w:ind w:left="0" w:leftChars="0" w:right="0" w:rightChars="0"/>
              <w:rPr>
                <w:rFonts w:hint="eastAsia" w:ascii="宋体" w:hAnsi="宋体" w:cs="宋体"/>
                <w:color w:val="auto"/>
                <w:highlight w:val="none"/>
              </w:rPr>
            </w:pPr>
            <w:r>
              <w:rPr>
                <w:rFonts w:hint="eastAsia" w:ascii="宋体" w:hAnsi="宋体" w:cs="宋体"/>
                <w:color w:val="auto"/>
                <w:highlight w:val="none"/>
              </w:rPr>
              <w:t>□不通过</w:t>
            </w:r>
          </w:p>
        </w:tc>
        <w:tc>
          <w:tcPr>
            <w:tcW w:w="1360" w:type="dxa"/>
            <w:tcBorders>
              <w:top w:val="outset" w:color="111111" w:sz="6" w:space="0"/>
              <w:left w:val="outset" w:color="111111" w:sz="6" w:space="0"/>
              <w:bottom w:val="outset" w:color="111111" w:sz="6" w:space="0"/>
              <w:right w:val="outset" w:color="111111" w:sz="6" w:space="0"/>
            </w:tcBorders>
            <w:vAlign w:val="center"/>
          </w:tcPr>
          <w:p w14:paraId="05D391AB">
            <w:pPr>
              <w:keepNext w:val="0"/>
              <w:keepLines w:val="0"/>
              <w:widowControl/>
              <w:suppressLineNumbers w:val="0"/>
              <w:spacing w:before="0" w:beforeAutospacing="0" w:after="0" w:afterAutospacing="0" w:line="360" w:lineRule="auto"/>
              <w:ind w:left="0" w:leftChars="0" w:right="0" w:rightChars="0"/>
              <w:rPr>
                <w:rFonts w:hint="eastAsia" w:ascii="宋体" w:hAnsi="宋体" w:cs="宋体"/>
                <w:color w:val="auto"/>
                <w:highlight w:val="none"/>
              </w:rPr>
            </w:pPr>
            <w:r>
              <w:rPr>
                <w:rFonts w:hint="eastAsia" w:ascii="宋体" w:hAnsi="宋体" w:cs="宋体"/>
                <w:color w:val="auto"/>
                <w:highlight w:val="none"/>
              </w:rPr>
              <w:t>见参选文件第（ ）页</w:t>
            </w:r>
          </w:p>
        </w:tc>
      </w:tr>
    </w:tbl>
    <w:p w14:paraId="02AF668C">
      <w:pPr>
        <w:pStyle w:val="9"/>
        <w:spacing w:after="0" w:line="360" w:lineRule="auto"/>
        <w:ind w:left="424" w:hanging="424" w:hangingChars="202"/>
        <w:rPr>
          <w:rFonts w:ascii="宋体" w:hAnsi="宋体" w:cs="宋体"/>
          <w:color w:val="auto"/>
          <w:sz w:val="21"/>
          <w:szCs w:val="21"/>
          <w:highlight w:val="none"/>
        </w:rPr>
      </w:pPr>
      <w:r>
        <w:rPr>
          <w:rFonts w:hint="eastAsia" w:ascii="宋体" w:hAnsi="宋体" w:cs="宋体"/>
          <w:color w:val="auto"/>
          <w:sz w:val="21"/>
          <w:szCs w:val="21"/>
          <w:highlight w:val="none"/>
        </w:rPr>
        <w:t>注：以上材料将作为参选人有效性审核的重要内容之一，参选人必须严格按照其内容及序列要求在参选文件中对应如实提供，对资格性证明文件的任何缺漏和不符合项将会直接导致无效参选！</w:t>
      </w:r>
    </w:p>
    <w:p w14:paraId="176381EF">
      <w:pPr>
        <w:pStyle w:val="9"/>
        <w:spacing w:after="0" w:line="360" w:lineRule="auto"/>
        <w:rPr>
          <w:rFonts w:ascii="宋体" w:hAnsi="宋体" w:cs="宋体"/>
          <w:color w:val="auto"/>
          <w:sz w:val="21"/>
          <w:szCs w:val="21"/>
          <w:highlight w:val="none"/>
        </w:rPr>
      </w:pPr>
      <w:r>
        <w:rPr>
          <w:rFonts w:hint="eastAsia" w:ascii="宋体" w:hAnsi="宋体" w:cs="宋体"/>
          <w:color w:val="auto"/>
          <w:sz w:val="21"/>
          <w:szCs w:val="21"/>
          <w:highlight w:val="none"/>
        </w:rPr>
        <w:br w:type="page"/>
      </w:r>
      <w:r>
        <w:rPr>
          <w:rFonts w:hint="eastAsia" w:ascii="宋体" w:hAnsi="宋体" w:cs="宋体"/>
          <w:color w:val="auto"/>
          <w:sz w:val="21"/>
          <w:szCs w:val="21"/>
          <w:highlight w:val="none"/>
        </w:rPr>
        <w:t>1.2    符合性自查表</w:t>
      </w:r>
    </w:p>
    <w:tbl>
      <w:tblPr>
        <w:tblStyle w:val="24"/>
        <w:tblW w:w="0" w:type="auto"/>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859"/>
        <w:gridCol w:w="5225"/>
        <w:gridCol w:w="1618"/>
        <w:gridCol w:w="1499"/>
      </w:tblGrid>
      <w:tr w14:paraId="3E541D8F">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blHeader/>
          <w:jc w:val="center"/>
        </w:trPr>
        <w:tc>
          <w:tcPr>
            <w:tcW w:w="859" w:type="dxa"/>
            <w:tcBorders>
              <w:top w:val="outset" w:color="111111" w:sz="6" w:space="0"/>
              <w:left w:val="outset" w:color="111111" w:sz="6" w:space="0"/>
              <w:bottom w:val="outset" w:color="111111" w:sz="6" w:space="0"/>
              <w:right w:val="outset" w:color="111111" w:sz="6" w:space="0"/>
            </w:tcBorders>
            <w:vAlign w:val="center"/>
          </w:tcPr>
          <w:p w14:paraId="5515856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评审内容</w:t>
            </w:r>
          </w:p>
        </w:tc>
        <w:tc>
          <w:tcPr>
            <w:tcW w:w="5225" w:type="dxa"/>
            <w:tcBorders>
              <w:top w:val="outset" w:color="111111" w:sz="6" w:space="0"/>
              <w:left w:val="outset" w:color="111111" w:sz="6" w:space="0"/>
              <w:bottom w:val="outset" w:color="111111" w:sz="6" w:space="0"/>
              <w:right w:val="outset" w:color="111111" w:sz="6" w:space="0"/>
            </w:tcBorders>
            <w:vAlign w:val="center"/>
          </w:tcPr>
          <w:p w14:paraId="3CA0E4C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遴选文件要求</w:t>
            </w:r>
          </w:p>
        </w:tc>
        <w:tc>
          <w:tcPr>
            <w:tcW w:w="1618" w:type="dxa"/>
            <w:tcBorders>
              <w:top w:val="outset" w:color="111111" w:sz="6" w:space="0"/>
              <w:left w:val="outset" w:color="111111" w:sz="6" w:space="0"/>
              <w:bottom w:val="outset" w:color="111111" w:sz="6" w:space="0"/>
              <w:right w:val="outset" w:color="111111" w:sz="6" w:space="0"/>
            </w:tcBorders>
            <w:vAlign w:val="center"/>
          </w:tcPr>
          <w:p w14:paraId="1755213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自查结论</w:t>
            </w:r>
          </w:p>
        </w:tc>
        <w:tc>
          <w:tcPr>
            <w:tcW w:w="1499" w:type="dxa"/>
            <w:tcBorders>
              <w:top w:val="outset" w:color="111111" w:sz="6" w:space="0"/>
              <w:left w:val="outset" w:color="111111" w:sz="6" w:space="0"/>
              <w:bottom w:val="outset" w:color="111111" w:sz="6" w:space="0"/>
              <w:right w:val="outset" w:color="111111" w:sz="6" w:space="0"/>
            </w:tcBorders>
            <w:vAlign w:val="center"/>
          </w:tcPr>
          <w:p w14:paraId="50CC89E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Style w:val="27"/>
                <w:rFonts w:hint="eastAsia" w:ascii="宋体" w:hAnsi="宋体" w:cs="宋体"/>
                <w:color w:val="auto"/>
                <w:highlight w:val="none"/>
              </w:rPr>
              <w:t>证明资料</w:t>
            </w:r>
          </w:p>
        </w:tc>
      </w:tr>
      <w:tr w14:paraId="20EE6E6A">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859" w:type="dxa"/>
            <w:vMerge w:val="restart"/>
            <w:tcBorders>
              <w:top w:val="outset" w:color="111111" w:sz="6" w:space="0"/>
              <w:left w:val="outset" w:color="111111" w:sz="6" w:space="0"/>
              <w:right w:val="outset" w:color="111111" w:sz="6" w:space="0"/>
            </w:tcBorders>
            <w:vAlign w:val="center"/>
          </w:tcPr>
          <w:p w14:paraId="47FB8970">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r>
              <w:rPr>
                <w:rFonts w:hint="eastAsia"/>
                <w:color w:val="auto"/>
                <w:sz w:val="21"/>
                <w:szCs w:val="21"/>
                <w:highlight w:val="none"/>
              </w:rPr>
              <w:t>符合性审查</w:t>
            </w:r>
          </w:p>
        </w:tc>
        <w:tc>
          <w:tcPr>
            <w:tcW w:w="5225" w:type="dxa"/>
            <w:tcBorders>
              <w:top w:val="outset" w:color="111111" w:sz="6" w:space="0"/>
              <w:left w:val="outset" w:color="111111" w:sz="6" w:space="0"/>
              <w:bottom w:val="outset" w:color="111111" w:sz="6" w:space="0"/>
              <w:right w:val="outset" w:color="111111" w:sz="6" w:space="0"/>
            </w:tcBorders>
          </w:tcPr>
          <w:p w14:paraId="116C9610">
            <w:pPr>
              <w:keepNext w:val="0"/>
              <w:keepLines w:val="0"/>
              <w:widowControl/>
              <w:suppressLineNumbers w:val="0"/>
              <w:spacing w:before="0" w:beforeAutospacing="0" w:after="0" w:afterAutospacing="0" w:line="240" w:lineRule="auto"/>
              <w:ind w:left="0" w:right="0"/>
              <w:jc w:val="both"/>
              <w:rPr>
                <w:rFonts w:hint="default" w:ascii="宋体" w:hAnsi="宋体" w:cs="宋体"/>
                <w:color w:val="auto"/>
                <w:highlight w:val="none"/>
              </w:rPr>
            </w:pPr>
            <w:r>
              <w:rPr>
                <w:rFonts w:hint="eastAsia" w:ascii="宋体" w:hAnsi="宋体" w:cs="宋体"/>
                <w:color w:val="auto"/>
                <w:highlight w:val="none"/>
              </w:rPr>
              <w:t>（1）参选报价确定且未超过报价范围；（2）参选报价是唯一确定的，对采购标的的主体、关键内容无漏项、缺项；（3）如有，对评审委员会按照遴选文件规定修正后的参选报价，参选人按规定书面确认；（4）如评审委员会认为参选人的报价属于采购文件中“采购异常低价审查”情形，参选人能证明其报价合理性。</w:t>
            </w:r>
          </w:p>
        </w:tc>
        <w:tc>
          <w:tcPr>
            <w:tcW w:w="1618" w:type="dxa"/>
            <w:tcBorders>
              <w:top w:val="outset" w:color="111111" w:sz="6" w:space="0"/>
              <w:left w:val="outset" w:color="111111" w:sz="6" w:space="0"/>
              <w:bottom w:val="outset" w:color="111111" w:sz="6" w:space="0"/>
              <w:right w:val="outset" w:color="111111" w:sz="6" w:space="0"/>
            </w:tcBorders>
            <w:vAlign w:val="center"/>
          </w:tcPr>
          <w:p w14:paraId="45353FE3">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□通过</w:t>
            </w:r>
          </w:p>
          <w:p w14:paraId="1DDEF940">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499" w:type="dxa"/>
            <w:tcBorders>
              <w:top w:val="outset" w:color="111111" w:sz="6" w:space="0"/>
              <w:left w:val="outset" w:color="111111" w:sz="6" w:space="0"/>
              <w:bottom w:val="outset" w:color="111111" w:sz="6" w:space="0"/>
              <w:right w:val="outset" w:color="111111" w:sz="6" w:space="0"/>
            </w:tcBorders>
            <w:vAlign w:val="center"/>
          </w:tcPr>
          <w:p w14:paraId="1D543685">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3A5FAA7C">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19" w:hRule="atLeast"/>
          <w:jc w:val="center"/>
        </w:trPr>
        <w:tc>
          <w:tcPr>
            <w:tcW w:w="859" w:type="dxa"/>
            <w:vMerge w:val="continue"/>
            <w:tcBorders>
              <w:left w:val="outset" w:color="111111" w:sz="6" w:space="0"/>
              <w:right w:val="outset" w:color="111111" w:sz="6" w:space="0"/>
            </w:tcBorders>
            <w:vAlign w:val="center"/>
          </w:tcPr>
          <w:p w14:paraId="3F346C00">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5225" w:type="dxa"/>
            <w:tcBorders>
              <w:top w:val="outset" w:color="111111" w:sz="6" w:space="0"/>
              <w:left w:val="outset" w:color="111111" w:sz="6" w:space="0"/>
              <w:bottom w:val="outset" w:color="111111" w:sz="6" w:space="0"/>
              <w:right w:val="outset" w:color="111111" w:sz="6" w:space="0"/>
            </w:tcBorders>
          </w:tcPr>
          <w:p w14:paraId="7F6C32C3">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参选文件按要求签署、盖章。</w:t>
            </w:r>
          </w:p>
        </w:tc>
        <w:tc>
          <w:tcPr>
            <w:tcW w:w="1618" w:type="dxa"/>
            <w:tcBorders>
              <w:top w:val="outset" w:color="111111" w:sz="6" w:space="0"/>
              <w:left w:val="outset" w:color="111111" w:sz="6" w:space="0"/>
              <w:bottom w:val="outset" w:color="111111" w:sz="6" w:space="0"/>
              <w:right w:val="outset" w:color="111111" w:sz="6" w:space="0"/>
            </w:tcBorders>
            <w:vAlign w:val="center"/>
          </w:tcPr>
          <w:p w14:paraId="7804FD99">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□通过</w:t>
            </w:r>
          </w:p>
          <w:p w14:paraId="69DE7F7E">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499" w:type="dxa"/>
            <w:tcBorders>
              <w:top w:val="outset" w:color="111111" w:sz="6" w:space="0"/>
              <w:left w:val="outset" w:color="111111" w:sz="6" w:space="0"/>
              <w:bottom w:val="outset" w:color="111111" w:sz="6" w:space="0"/>
              <w:right w:val="outset" w:color="111111" w:sz="6" w:space="0"/>
            </w:tcBorders>
            <w:vAlign w:val="center"/>
          </w:tcPr>
          <w:p w14:paraId="784F24AE">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52154FAD">
        <w:tblPrEx>
          <w:tblCellMar>
            <w:top w:w="150" w:type="dxa"/>
            <w:left w:w="150" w:type="dxa"/>
            <w:bottom w:w="150" w:type="dxa"/>
            <w:right w:w="150" w:type="dxa"/>
          </w:tblCellMar>
        </w:tblPrEx>
        <w:trPr>
          <w:jc w:val="center"/>
        </w:trPr>
        <w:tc>
          <w:tcPr>
            <w:tcW w:w="859" w:type="dxa"/>
            <w:vMerge w:val="continue"/>
            <w:tcBorders>
              <w:left w:val="outset" w:color="111111" w:sz="6" w:space="0"/>
              <w:right w:val="outset" w:color="111111" w:sz="6" w:space="0"/>
            </w:tcBorders>
            <w:vAlign w:val="center"/>
          </w:tcPr>
          <w:p w14:paraId="161C4916">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5225" w:type="dxa"/>
            <w:tcBorders>
              <w:top w:val="outset" w:color="111111" w:sz="6" w:space="0"/>
              <w:left w:val="outset" w:color="111111" w:sz="6" w:space="0"/>
              <w:bottom w:val="outset" w:color="111111" w:sz="6" w:space="0"/>
              <w:right w:val="outset" w:color="111111" w:sz="6" w:space="0"/>
            </w:tcBorders>
          </w:tcPr>
          <w:p w14:paraId="7F83058C">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参选有效期满足遴选文件要求。</w:t>
            </w:r>
          </w:p>
        </w:tc>
        <w:tc>
          <w:tcPr>
            <w:tcW w:w="1618" w:type="dxa"/>
            <w:tcBorders>
              <w:top w:val="outset" w:color="111111" w:sz="6" w:space="0"/>
              <w:left w:val="outset" w:color="111111" w:sz="6" w:space="0"/>
              <w:bottom w:val="outset" w:color="111111" w:sz="6" w:space="0"/>
              <w:right w:val="outset" w:color="111111" w:sz="6" w:space="0"/>
            </w:tcBorders>
            <w:vAlign w:val="center"/>
          </w:tcPr>
          <w:p w14:paraId="6BF879B0">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□通过</w:t>
            </w:r>
          </w:p>
          <w:p w14:paraId="1EDD900D">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499" w:type="dxa"/>
            <w:tcBorders>
              <w:top w:val="outset" w:color="111111" w:sz="6" w:space="0"/>
              <w:left w:val="outset" w:color="111111" w:sz="6" w:space="0"/>
              <w:bottom w:val="outset" w:color="111111" w:sz="6" w:space="0"/>
              <w:right w:val="outset" w:color="111111" w:sz="6" w:space="0"/>
            </w:tcBorders>
            <w:vAlign w:val="center"/>
          </w:tcPr>
          <w:p w14:paraId="69B1C17A">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5B9C58C0">
        <w:tblPrEx>
          <w:tblCellMar>
            <w:top w:w="150" w:type="dxa"/>
            <w:left w:w="150" w:type="dxa"/>
            <w:bottom w:w="150" w:type="dxa"/>
            <w:right w:w="150" w:type="dxa"/>
          </w:tblCellMar>
        </w:tblPrEx>
        <w:trPr>
          <w:jc w:val="center"/>
        </w:trPr>
        <w:tc>
          <w:tcPr>
            <w:tcW w:w="859" w:type="dxa"/>
            <w:vMerge w:val="continue"/>
            <w:tcBorders>
              <w:left w:val="outset" w:color="111111" w:sz="6" w:space="0"/>
              <w:right w:val="outset" w:color="111111" w:sz="6" w:space="0"/>
            </w:tcBorders>
            <w:vAlign w:val="center"/>
          </w:tcPr>
          <w:p w14:paraId="125F8BD7">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5225" w:type="dxa"/>
            <w:tcBorders>
              <w:top w:val="outset" w:color="111111" w:sz="6" w:space="0"/>
              <w:left w:val="outset" w:color="111111" w:sz="6" w:space="0"/>
              <w:bottom w:val="outset" w:color="111111" w:sz="6" w:space="0"/>
              <w:right w:val="outset" w:color="111111" w:sz="6" w:space="0"/>
            </w:tcBorders>
          </w:tcPr>
          <w:p w14:paraId="41138AD6">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参选文件符合遴选文件加注“★”要求的内容。</w:t>
            </w:r>
          </w:p>
        </w:tc>
        <w:tc>
          <w:tcPr>
            <w:tcW w:w="1618" w:type="dxa"/>
            <w:tcBorders>
              <w:top w:val="outset" w:color="111111" w:sz="6" w:space="0"/>
              <w:left w:val="outset" w:color="111111" w:sz="6" w:space="0"/>
              <w:bottom w:val="outset" w:color="111111" w:sz="6" w:space="0"/>
              <w:right w:val="outset" w:color="111111" w:sz="6" w:space="0"/>
            </w:tcBorders>
            <w:vAlign w:val="center"/>
          </w:tcPr>
          <w:p w14:paraId="2199D29C">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□通过</w:t>
            </w:r>
          </w:p>
          <w:p w14:paraId="472B53B5">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499" w:type="dxa"/>
            <w:tcBorders>
              <w:top w:val="outset" w:color="111111" w:sz="6" w:space="0"/>
              <w:left w:val="outset" w:color="111111" w:sz="6" w:space="0"/>
              <w:bottom w:val="outset" w:color="111111" w:sz="6" w:space="0"/>
              <w:right w:val="outset" w:color="111111" w:sz="6" w:space="0"/>
            </w:tcBorders>
            <w:vAlign w:val="center"/>
          </w:tcPr>
          <w:p w14:paraId="13D75351">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4B9EF09B">
        <w:tblPrEx>
          <w:tblCellMar>
            <w:top w:w="150" w:type="dxa"/>
            <w:left w:w="150" w:type="dxa"/>
            <w:bottom w:w="150" w:type="dxa"/>
            <w:right w:w="150" w:type="dxa"/>
          </w:tblCellMar>
        </w:tblPrEx>
        <w:trPr>
          <w:trHeight w:val="512" w:hRule="atLeast"/>
          <w:jc w:val="center"/>
        </w:trPr>
        <w:tc>
          <w:tcPr>
            <w:tcW w:w="859" w:type="dxa"/>
            <w:vMerge w:val="continue"/>
            <w:tcBorders>
              <w:left w:val="outset" w:color="111111" w:sz="6" w:space="0"/>
              <w:right w:val="outset" w:color="111111" w:sz="6" w:space="0"/>
            </w:tcBorders>
            <w:vAlign w:val="center"/>
          </w:tcPr>
          <w:p w14:paraId="36BD6C81">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5225" w:type="dxa"/>
            <w:tcBorders>
              <w:top w:val="outset" w:color="111111" w:sz="6" w:space="0"/>
              <w:left w:val="outset" w:color="111111" w:sz="6" w:space="0"/>
              <w:bottom w:val="outset" w:color="111111" w:sz="6" w:space="0"/>
              <w:right w:val="outset" w:color="111111" w:sz="6" w:space="0"/>
            </w:tcBorders>
          </w:tcPr>
          <w:p w14:paraId="3BF4E791">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未出现遴选文件所列的视为串通参选情形。</w:t>
            </w:r>
          </w:p>
        </w:tc>
        <w:tc>
          <w:tcPr>
            <w:tcW w:w="1618" w:type="dxa"/>
            <w:tcBorders>
              <w:top w:val="outset" w:color="111111" w:sz="6" w:space="0"/>
              <w:left w:val="outset" w:color="111111" w:sz="6" w:space="0"/>
              <w:bottom w:val="outset" w:color="111111" w:sz="6" w:space="0"/>
              <w:right w:val="outset" w:color="111111" w:sz="6" w:space="0"/>
            </w:tcBorders>
            <w:vAlign w:val="center"/>
          </w:tcPr>
          <w:p w14:paraId="46311DCA">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□通过</w:t>
            </w:r>
          </w:p>
          <w:p w14:paraId="545F0ACB">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499" w:type="dxa"/>
            <w:tcBorders>
              <w:top w:val="outset" w:color="111111" w:sz="6" w:space="0"/>
              <w:left w:val="outset" w:color="111111" w:sz="6" w:space="0"/>
              <w:bottom w:val="outset" w:color="111111" w:sz="6" w:space="0"/>
              <w:right w:val="outset" w:color="111111" w:sz="6" w:space="0"/>
            </w:tcBorders>
            <w:vAlign w:val="center"/>
          </w:tcPr>
          <w:p w14:paraId="0856C630">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7E7BA598">
        <w:tblPrEx>
          <w:tblCellMar>
            <w:top w:w="150" w:type="dxa"/>
            <w:left w:w="150" w:type="dxa"/>
            <w:bottom w:w="150" w:type="dxa"/>
            <w:right w:w="150" w:type="dxa"/>
          </w:tblCellMar>
        </w:tblPrEx>
        <w:trPr>
          <w:trHeight w:val="512" w:hRule="atLeast"/>
          <w:jc w:val="center"/>
        </w:trPr>
        <w:tc>
          <w:tcPr>
            <w:tcW w:w="859" w:type="dxa"/>
            <w:vMerge w:val="continue"/>
            <w:tcBorders>
              <w:left w:val="outset" w:color="111111" w:sz="6" w:space="0"/>
              <w:right w:val="outset" w:color="111111" w:sz="6" w:space="0"/>
            </w:tcBorders>
            <w:vAlign w:val="center"/>
          </w:tcPr>
          <w:p w14:paraId="6858B29D">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5225" w:type="dxa"/>
            <w:tcBorders>
              <w:top w:val="outset" w:color="111111" w:sz="6" w:space="0"/>
              <w:left w:val="outset" w:color="111111" w:sz="6" w:space="0"/>
              <w:bottom w:val="outset" w:color="111111" w:sz="6" w:space="0"/>
              <w:right w:val="outset" w:color="111111" w:sz="6" w:space="0"/>
            </w:tcBorders>
          </w:tcPr>
          <w:p w14:paraId="656C1299">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1）评审期间，参选人没有按评审委员会的要求提交有效的澄清、说明、补正，或提交的澄清、说明、补正改变了参选文件的实质性内容；（2）参选人对采购人、采购代理机构、评审委员会及其工作人员施加影响，有碍公平、公正；（3）遴选文件中规定的其它无效参选情形；（4）法律法规规定属于响应无效的其他情形。</w:t>
            </w:r>
          </w:p>
        </w:tc>
        <w:tc>
          <w:tcPr>
            <w:tcW w:w="1618" w:type="dxa"/>
            <w:tcBorders>
              <w:top w:val="outset" w:color="111111" w:sz="6" w:space="0"/>
              <w:left w:val="outset" w:color="111111" w:sz="6" w:space="0"/>
              <w:bottom w:val="outset" w:color="111111" w:sz="6" w:space="0"/>
              <w:right w:val="outset" w:color="111111" w:sz="6" w:space="0"/>
            </w:tcBorders>
            <w:vAlign w:val="center"/>
          </w:tcPr>
          <w:p w14:paraId="1F5421D1">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□通过</w:t>
            </w:r>
          </w:p>
          <w:p w14:paraId="3523621D">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499" w:type="dxa"/>
            <w:tcBorders>
              <w:top w:val="outset" w:color="111111" w:sz="6" w:space="0"/>
              <w:left w:val="outset" w:color="111111" w:sz="6" w:space="0"/>
              <w:bottom w:val="outset" w:color="111111" w:sz="6" w:space="0"/>
              <w:right w:val="outset" w:color="111111" w:sz="6" w:space="0"/>
            </w:tcBorders>
            <w:vAlign w:val="center"/>
          </w:tcPr>
          <w:p w14:paraId="0F32B1BA">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4F3DEB92">
        <w:tblPrEx>
          <w:tblCellMar>
            <w:top w:w="150" w:type="dxa"/>
            <w:left w:w="150" w:type="dxa"/>
            <w:bottom w:w="150" w:type="dxa"/>
            <w:right w:w="150" w:type="dxa"/>
          </w:tblCellMar>
        </w:tblPrEx>
        <w:trPr>
          <w:trHeight w:val="512" w:hRule="atLeast"/>
          <w:jc w:val="center"/>
        </w:trPr>
        <w:tc>
          <w:tcPr>
            <w:tcW w:w="859" w:type="dxa"/>
            <w:vMerge w:val="continue"/>
            <w:tcBorders>
              <w:left w:val="outset" w:color="111111" w:sz="6" w:space="0"/>
              <w:right w:val="outset" w:color="111111" w:sz="6" w:space="0"/>
            </w:tcBorders>
            <w:vAlign w:val="center"/>
          </w:tcPr>
          <w:p w14:paraId="708D342E">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5225" w:type="dxa"/>
            <w:tcBorders>
              <w:top w:val="outset" w:color="111111" w:sz="6" w:space="0"/>
              <w:left w:val="outset" w:color="111111" w:sz="6" w:space="0"/>
              <w:bottom w:val="outset" w:color="111111" w:sz="6" w:space="0"/>
              <w:right w:val="outset" w:color="111111" w:sz="6" w:space="0"/>
            </w:tcBorders>
          </w:tcPr>
          <w:p w14:paraId="2BB8F18C">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参选人已缴纳参选保证金。</w:t>
            </w:r>
          </w:p>
        </w:tc>
        <w:tc>
          <w:tcPr>
            <w:tcW w:w="1618" w:type="dxa"/>
            <w:tcBorders>
              <w:top w:val="outset" w:color="111111" w:sz="6" w:space="0"/>
              <w:left w:val="outset" w:color="111111" w:sz="6" w:space="0"/>
              <w:bottom w:val="outset" w:color="111111" w:sz="6" w:space="0"/>
              <w:right w:val="outset" w:color="111111" w:sz="6" w:space="0"/>
            </w:tcBorders>
            <w:shd w:val="clear" w:color="auto" w:fill="auto"/>
            <w:vAlign w:val="center"/>
          </w:tcPr>
          <w:p w14:paraId="1C16AD11">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□通过</w:t>
            </w:r>
          </w:p>
          <w:p w14:paraId="18FA2A7A">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□不通过</w:t>
            </w:r>
          </w:p>
        </w:tc>
        <w:tc>
          <w:tcPr>
            <w:tcW w:w="1499" w:type="dxa"/>
            <w:tcBorders>
              <w:top w:val="outset" w:color="111111" w:sz="6" w:space="0"/>
              <w:left w:val="outset" w:color="111111" w:sz="6" w:space="0"/>
              <w:bottom w:val="outset" w:color="111111" w:sz="6" w:space="0"/>
              <w:right w:val="outset" w:color="111111" w:sz="6" w:space="0"/>
            </w:tcBorders>
            <w:shd w:val="clear" w:color="auto" w:fill="auto"/>
            <w:vAlign w:val="center"/>
          </w:tcPr>
          <w:p w14:paraId="2884EFF5">
            <w:pPr>
              <w:keepNext w:val="0"/>
              <w:keepLines w:val="0"/>
              <w:widowControl/>
              <w:suppressLineNumbers w:val="0"/>
              <w:spacing w:before="0" w:beforeAutospacing="0" w:after="0" w:afterAutospacing="0" w:line="24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bl>
    <w:p w14:paraId="3D0D0235">
      <w:pPr>
        <w:pStyle w:val="9"/>
        <w:spacing w:after="0" w:line="360" w:lineRule="auto"/>
        <w:rPr>
          <w:rFonts w:ascii="宋体" w:hAnsi="宋体" w:cs="宋体"/>
          <w:color w:val="auto"/>
          <w:sz w:val="21"/>
          <w:szCs w:val="21"/>
          <w:highlight w:val="none"/>
        </w:rPr>
      </w:pPr>
      <w:r>
        <w:rPr>
          <w:rFonts w:hint="eastAsia" w:ascii="宋体" w:hAnsi="宋体" w:cs="宋体"/>
          <w:color w:val="auto"/>
          <w:sz w:val="21"/>
          <w:szCs w:val="21"/>
          <w:highlight w:val="none"/>
        </w:rPr>
        <w:t>注：以上材料将作为参选人有效性审核的重要内容之一，参选人必须严格按照其内容及序列要求在参选文件中对应如实提供，对符合性证明文件的任何缺漏和不符合项将会直接导致无效参选！</w:t>
      </w:r>
    </w:p>
    <w:p w14:paraId="1BB00A39">
      <w:pPr>
        <w:pStyle w:val="9"/>
        <w:tabs>
          <w:tab w:val="left" w:pos="851"/>
        </w:tabs>
        <w:spacing w:after="0" w:line="360" w:lineRule="auto"/>
        <w:ind w:left="850" w:hanging="850" w:hangingChars="405"/>
        <w:rPr>
          <w:color w:val="auto"/>
          <w:highlight w:val="none"/>
        </w:rPr>
      </w:pPr>
      <w:r>
        <w:rPr>
          <w:rFonts w:hint="eastAsia" w:ascii="宋体" w:hAnsi="宋体" w:cs="宋体"/>
          <w:color w:val="auto"/>
          <w:sz w:val="21"/>
          <w:szCs w:val="21"/>
          <w:highlight w:val="none"/>
        </w:rPr>
        <w:br w:type="page"/>
      </w:r>
      <w:r>
        <w:rPr>
          <w:rFonts w:hint="eastAsia" w:ascii="宋体" w:hAnsi="宋体" w:cs="宋体"/>
          <w:color w:val="auto"/>
          <w:sz w:val="21"/>
          <w:szCs w:val="21"/>
          <w:highlight w:val="none"/>
        </w:rPr>
        <w:t>1.3《实质性响应一览表》</w:t>
      </w:r>
    </w:p>
    <w:p w14:paraId="1B8E24FF">
      <w:pPr>
        <w:pStyle w:val="48"/>
        <w:spacing w:line="360" w:lineRule="auto"/>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广州医科大学附属妇女儿童医疗中心增城院区生活垃圾清运服务项目（二次）</w:t>
      </w:r>
    </w:p>
    <w:p w14:paraId="4420887B">
      <w:pPr>
        <w:pStyle w:val="48"/>
        <w:spacing w:line="360" w:lineRule="auto"/>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项目编号：</w:t>
      </w:r>
      <w:r>
        <w:rPr>
          <w:rFonts w:hint="eastAsia" w:ascii="宋体" w:hAnsi="宋体" w:cs="宋体"/>
          <w:color w:val="auto"/>
          <w:sz w:val="21"/>
          <w:szCs w:val="21"/>
          <w:highlight w:val="none"/>
          <w:lang w:eastAsia="zh-CN"/>
        </w:rPr>
        <w:t>GZZJ-FG-2026114</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6798"/>
        <w:gridCol w:w="611"/>
        <w:gridCol w:w="907"/>
      </w:tblGrid>
      <w:tr w14:paraId="194D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1DF7583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3790" w:type="pct"/>
            <w:vAlign w:val="center"/>
          </w:tcPr>
          <w:p w14:paraId="0019F6E3">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实质性响应条款</w:t>
            </w:r>
          </w:p>
        </w:tc>
        <w:tc>
          <w:tcPr>
            <w:tcW w:w="398" w:type="pct"/>
            <w:vAlign w:val="center"/>
          </w:tcPr>
          <w:p w14:paraId="36428647">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参选人响应情况</w:t>
            </w:r>
          </w:p>
        </w:tc>
        <w:tc>
          <w:tcPr>
            <w:tcW w:w="567" w:type="pct"/>
            <w:vAlign w:val="center"/>
          </w:tcPr>
          <w:p w14:paraId="024FC6A9">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差异</w:t>
            </w:r>
          </w:p>
        </w:tc>
      </w:tr>
      <w:tr w14:paraId="33B9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7778610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3790" w:type="pct"/>
            <w:vAlign w:val="center"/>
          </w:tcPr>
          <w:p w14:paraId="4850FB32">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报价要求（含税）：</w:t>
            </w:r>
            <w:r>
              <w:rPr>
                <w:rFonts w:hint="eastAsia" w:ascii="宋体" w:hAnsi="宋体" w:eastAsia="宋体" w:cs="宋体"/>
                <w:b w:val="0"/>
                <w:color w:val="auto"/>
                <w:sz w:val="21"/>
                <w:szCs w:val="21"/>
                <w:highlight w:val="none"/>
                <w:lang w:val="en-US" w:eastAsia="zh-CN"/>
              </w:rPr>
              <w:t>本项目采用</w:t>
            </w:r>
            <w:r>
              <w:rPr>
                <w:rFonts w:hint="eastAsia" w:ascii="宋体" w:hAnsi="宋体" w:eastAsia="宋体" w:cs="宋体"/>
                <w:color w:val="auto"/>
                <w:sz w:val="21"/>
                <w:szCs w:val="21"/>
                <w:highlight w:val="none"/>
              </w:rPr>
              <w:t>总价形式进行报价，参选人所报总价不能超过本项目的最高限价。</w:t>
            </w:r>
            <w:r>
              <w:rPr>
                <w:rFonts w:hint="eastAsia" w:ascii="宋体" w:hAnsi="宋体" w:eastAsia="宋体" w:cs="宋体"/>
                <w:color w:val="auto"/>
                <w:sz w:val="21"/>
                <w:szCs w:val="21"/>
                <w:highlight w:val="none"/>
                <w:lang w:eastAsia="zh-CN"/>
              </w:rPr>
              <w:t>报价包括但不限于</w:t>
            </w:r>
            <w:r>
              <w:rPr>
                <w:rFonts w:hint="eastAsia" w:ascii="宋体" w:hAnsi="宋体" w:eastAsia="宋体" w:cs="宋体"/>
                <w:color w:val="auto"/>
                <w:sz w:val="21"/>
                <w:szCs w:val="21"/>
                <w:highlight w:val="none"/>
              </w:rPr>
              <w:t>人员</w:t>
            </w:r>
            <w:r>
              <w:rPr>
                <w:rFonts w:hint="eastAsia" w:ascii="宋体" w:hAnsi="宋体" w:eastAsia="宋体" w:cs="宋体"/>
                <w:color w:val="auto"/>
                <w:sz w:val="21"/>
                <w:szCs w:val="21"/>
                <w:highlight w:val="none"/>
                <w:lang w:eastAsia="zh-CN"/>
              </w:rPr>
              <w:t>费用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设备与工具、运输费用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成本、</w:t>
            </w:r>
            <w:r>
              <w:rPr>
                <w:rFonts w:hint="eastAsia" w:ascii="宋体" w:hAnsi="宋体" w:eastAsia="宋体" w:cs="宋体"/>
                <w:color w:val="auto"/>
                <w:sz w:val="21"/>
                <w:szCs w:val="21"/>
                <w:highlight w:val="none"/>
              </w:rPr>
              <w:t>相关废弃物处理处置（填埋费）、</w:t>
            </w:r>
            <w:r>
              <w:rPr>
                <w:rFonts w:hint="eastAsia" w:ascii="宋体" w:hAnsi="宋体" w:eastAsia="宋体" w:cs="宋体"/>
                <w:color w:val="auto"/>
                <w:sz w:val="21"/>
                <w:szCs w:val="21"/>
                <w:highlight w:val="none"/>
                <w:lang w:eastAsia="zh-CN"/>
              </w:rPr>
              <w:t>人员保险、</w:t>
            </w:r>
            <w:r>
              <w:rPr>
                <w:rFonts w:hint="eastAsia" w:ascii="宋体" w:hAnsi="宋体" w:eastAsia="宋体" w:cs="宋体"/>
                <w:color w:val="auto"/>
                <w:sz w:val="21"/>
                <w:szCs w:val="21"/>
                <w:highlight w:val="none"/>
                <w:lang w:val="en-US" w:eastAsia="zh-CN"/>
              </w:rPr>
              <w:t>税费、</w:t>
            </w:r>
            <w:r>
              <w:rPr>
                <w:rFonts w:hint="eastAsia" w:ascii="宋体" w:hAnsi="宋体" w:eastAsia="宋体" w:cs="宋体"/>
                <w:b w:val="0"/>
                <w:bCs/>
                <w:color w:val="auto"/>
                <w:kern w:val="0"/>
                <w:sz w:val="21"/>
                <w:szCs w:val="21"/>
                <w:highlight w:val="none"/>
                <w:lang w:val="en-US" w:eastAsia="zh-CN" w:bidi="ar-SA"/>
              </w:rPr>
              <w:t>合同实施过程中不可预见费用以及为完成本项目所引起的所有费用等。报价时，参选人充分考虑合同执行过程中人工单价、材料的物价变化、实际工作量增减的变化、政策性变化引起的价格变动等风险，同时认真考虑一切可能出现的影响项目完成的因素。合同执行期间合同总金额不变。</w:t>
            </w:r>
          </w:p>
        </w:tc>
        <w:tc>
          <w:tcPr>
            <w:tcW w:w="398" w:type="pct"/>
            <w:vAlign w:val="center"/>
          </w:tcPr>
          <w:p w14:paraId="48337437">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73AE6ABC">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1E6EE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4DD38DE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3790" w:type="pct"/>
            <w:vAlign w:val="center"/>
          </w:tcPr>
          <w:p w14:paraId="6AA45FEA">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lang w:val="en-US" w:eastAsia="zh-CN"/>
              </w:rPr>
              <w:t>2、本项目不接受联合体参选。不得将本项目合同转包、分包、挂靠。</w:t>
            </w:r>
            <w:r>
              <w:rPr>
                <w:rFonts w:hint="eastAsia" w:ascii="宋体" w:hAnsi="宋体" w:eastAsia="宋体" w:cs="宋体"/>
                <w:b/>
                <w:bCs/>
                <w:color w:val="auto"/>
                <w:sz w:val="21"/>
                <w:szCs w:val="21"/>
                <w:highlight w:val="none"/>
                <w:lang w:val="en-US" w:eastAsia="zh-CN"/>
              </w:rPr>
              <w:t>（提供承诺函并加盖参选人公章）</w:t>
            </w:r>
          </w:p>
        </w:tc>
        <w:tc>
          <w:tcPr>
            <w:tcW w:w="398" w:type="pct"/>
            <w:vAlign w:val="center"/>
          </w:tcPr>
          <w:p w14:paraId="4D000878">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1DA0FEEF">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2E7B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62B526A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3790" w:type="pct"/>
            <w:vAlign w:val="center"/>
          </w:tcPr>
          <w:p w14:paraId="0DD853F8">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、参选人须具备政府相关部门颁发且在有效期内的《城市生活垃圾经营性清扫、收集、运输服务许可证》扫描件，且许可内容应包含城市生活垃圾经营性运输服务。</w:t>
            </w:r>
            <w:r>
              <w:rPr>
                <w:rFonts w:hint="eastAsia" w:ascii="宋体" w:hAnsi="宋体" w:eastAsia="宋体" w:cs="宋体"/>
                <w:b/>
                <w:bCs/>
                <w:color w:val="auto"/>
                <w:sz w:val="21"/>
                <w:szCs w:val="21"/>
                <w:highlight w:val="none"/>
                <w:lang w:val="en-US" w:eastAsia="zh-CN"/>
              </w:rPr>
              <w:t>（提供相关许可证扫描件）</w:t>
            </w:r>
          </w:p>
        </w:tc>
        <w:tc>
          <w:tcPr>
            <w:tcW w:w="398" w:type="pct"/>
            <w:vAlign w:val="center"/>
          </w:tcPr>
          <w:p w14:paraId="4849C589">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155BB397">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168D2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3B45CB3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p>
        </w:tc>
        <w:tc>
          <w:tcPr>
            <w:tcW w:w="3790" w:type="pct"/>
            <w:vAlign w:val="center"/>
          </w:tcPr>
          <w:p w14:paraId="453D1716">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、参选人须具备政府相关部门颁发且在有效期内的《道路运输经营许可证》，且经营范围应包含货运。</w:t>
            </w:r>
            <w:r>
              <w:rPr>
                <w:rFonts w:hint="eastAsia" w:ascii="宋体" w:hAnsi="宋体" w:eastAsia="宋体" w:cs="宋体"/>
                <w:b/>
                <w:bCs/>
                <w:color w:val="auto"/>
                <w:sz w:val="21"/>
                <w:szCs w:val="21"/>
                <w:highlight w:val="none"/>
                <w:lang w:val="en-US" w:eastAsia="zh-CN"/>
              </w:rPr>
              <w:t>（提供相关许可证扫描件）</w:t>
            </w:r>
          </w:p>
        </w:tc>
        <w:tc>
          <w:tcPr>
            <w:tcW w:w="398" w:type="pct"/>
            <w:vAlign w:val="center"/>
          </w:tcPr>
          <w:p w14:paraId="7DE8EAFE">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1D17E28B">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40A7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059E6BE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p>
        </w:tc>
        <w:tc>
          <w:tcPr>
            <w:tcW w:w="3790" w:type="pct"/>
            <w:vAlign w:val="center"/>
          </w:tcPr>
          <w:p w14:paraId="2F4BD8D5">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lang w:val="en-US" w:eastAsia="zh-CN"/>
              </w:rPr>
              <w:t>5、参选人中选后，在合同履约期间因客观原因无法继续履约的，必须在2个日历天内书面函告采购人并说明原因，采购人有权终止合同，违约责任按照合同违约条款处理。</w:t>
            </w:r>
            <w:r>
              <w:rPr>
                <w:rFonts w:hint="eastAsia" w:ascii="宋体" w:hAnsi="宋体" w:eastAsia="宋体" w:cs="宋体"/>
                <w:b/>
                <w:bCs/>
                <w:color w:val="auto"/>
                <w:sz w:val="21"/>
                <w:szCs w:val="21"/>
                <w:highlight w:val="none"/>
                <w:lang w:val="en-US" w:eastAsia="zh-CN"/>
              </w:rPr>
              <w:t>（提供承诺函并加盖参选人公章）</w:t>
            </w:r>
          </w:p>
        </w:tc>
        <w:tc>
          <w:tcPr>
            <w:tcW w:w="398" w:type="pct"/>
            <w:vAlign w:val="center"/>
          </w:tcPr>
          <w:p w14:paraId="55C1D36D">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234C317D">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1357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2FF92EE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w:t>
            </w:r>
          </w:p>
        </w:tc>
        <w:tc>
          <w:tcPr>
            <w:tcW w:w="3790" w:type="pct"/>
            <w:vAlign w:val="center"/>
          </w:tcPr>
          <w:p w14:paraId="02AF2C05">
            <w:pPr>
              <w:pStyle w:val="1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z w:val="21"/>
                <w:szCs w:val="21"/>
                <w:highlight w:val="none"/>
              </w:rPr>
              <w:t>★</w:t>
            </w:r>
            <w:r>
              <w:rPr>
                <w:rFonts w:hint="eastAsia" w:ascii="宋体" w:hAnsi="宋体" w:eastAsia="宋体" w:cs="宋体"/>
                <w:b/>
                <w:color w:val="auto"/>
                <w:sz w:val="21"/>
                <w:szCs w:val="21"/>
                <w:highlight w:val="none"/>
                <w:lang w:eastAsia="zh-CN"/>
              </w:rPr>
              <w:t>一</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eastAsia="zh-CN"/>
              </w:rPr>
              <w:t>清运要求</w:t>
            </w:r>
          </w:p>
          <w:p w14:paraId="03C06204">
            <w:pPr>
              <w:pStyle w:val="19"/>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eastAsia" w:ascii="宋体" w:hAnsi="宋体" w:eastAsia="宋体" w:cs="宋体"/>
                <w:b/>
                <w:color w:val="auto"/>
                <w:sz w:val="21"/>
                <w:szCs w:val="21"/>
                <w:highlight w:val="none"/>
                <w:lang w:eastAsia="zh-CN"/>
              </w:rPr>
              <w:t>清运</w:t>
            </w:r>
            <w:r>
              <w:rPr>
                <w:rFonts w:hint="eastAsia" w:ascii="宋体" w:hAnsi="宋体" w:eastAsia="宋体" w:cs="宋体"/>
                <w:b/>
                <w:color w:val="auto"/>
                <w:sz w:val="21"/>
                <w:szCs w:val="21"/>
                <w:highlight w:val="none"/>
              </w:rPr>
              <w:t>量</w:t>
            </w:r>
            <w:r>
              <w:rPr>
                <w:rFonts w:hint="eastAsia" w:ascii="宋体" w:hAnsi="宋体" w:eastAsia="宋体" w:cs="宋体"/>
                <w:b/>
                <w:color w:val="auto"/>
                <w:sz w:val="21"/>
                <w:szCs w:val="21"/>
                <w:highlight w:val="none"/>
                <w:lang w:eastAsia="zh-CN"/>
              </w:rPr>
              <w:t>：</w:t>
            </w:r>
            <w:r>
              <w:rPr>
                <w:rFonts w:hint="eastAsia" w:ascii="宋体" w:hAnsi="宋体" w:eastAsia="宋体" w:cs="宋体"/>
                <w:color w:val="auto"/>
                <w:kern w:val="0"/>
                <w:sz w:val="21"/>
                <w:szCs w:val="21"/>
                <w:highlight w:val="none"/>
                <w:lang w:val="en-US" w:eastAsia="zh-CN" w:bidi="ar-SA"/>
              </w:rPr>
              <w:t>采购人服务地点每天产生约90桶（120L/桶）生活垃圾，仅为预估量，参选人按照实际产生的垃圾量完成清运，超过预估量的清运费用已包含在参选报价中。</w:t>
            </w:r>
          </w:p>
          <w:p w14:paraId="54AC7E34">
            <w:pPr>
              <w:pStyle w:val="19"/>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r>
              <w:rPr>
                <w:rFonts w:hint="eastAsia" w:ascii="宋体" w:hAnsi="宋体" w:eastAsia="宋体" w:cs="宋体"/>
                <w:bCs/>
                <w:color w:val="auto"/>
                <w:sz w:val="21"/>
                <w:szCs w:val="21"/>
                <w:highlight w:val="none"/>
                <w:lang w:eastAsia="zh-CN"/>
              </w:rPr>
              <w:t>作业时间：每天收运两次，</w:t>
            </w:r>
            <w:r>
              <w:rPr>
                <w:rFonts w:hint="eastAsia" w:ascii="宋体" w:hAnsi="宋体" w:eastAsia="宋体" w:cs="宋体"/>
                <w:bCs/>
                <w:color w:val="auto"/>
                <w:sz w:val="21"/>
                <w:szCs w:val="21"/>
                <w:highlight w:val="none"/>
              </w:rPr>
              <w:t>早上</w:t>
            </w:r>
            <w:r>
              <w:rPr>
                <w:rFonts w:hint="eastAsia" w:ascii="宋体" w:hAnsi="宋体" w:eastAsia="宋体" w:cs="宋体"/>
                <w:bCs/>
                <w:color w:val="auto"/>
                <w:sz w:val="21"/>
                <w:szCs w:val="21"/>
                <w:highlight w:val="none"/>
                <w:lang w:val="en-US" w:eastAsia="zh-CN"/>
              </w:rPr>
              <w:t>9:30</w:t>
            </w:r>
            <w:r>
              <w:rPr>
                <w:rFonts w:hint="eastAsia" w:ascii="宋体" w:hAnsi="宋体" w:eastAsia="宋体" w:cs="宋体"/>
                <w:bCs/>
                <w:color w:val="auto"/>
                <w:sz w:val="21"/>
                <w:szCs w:val="21"/>
                <w:highlight w:val="none"/>
              </w:rPr>
              <w:t>前</w:t>
            </w:r>
            <w:r>
              <w:rPr>
                <w:rFonts w:hint="eastAsia" w:ascii="宋体" w:hAnsi="宋体" w:eastAsia="宋体" w:cs="宋体"/>
                <w:bCs/>
                <w:color w:val="auto"/>
                <w:sz w:val="21"/>
                <w:szCs w:val="21"/>
                <w:highlight w:val="none"/>
                <w:lang w:eastAsia="zh-CN"/>
              </w:rPr>
              <w:t>、下午</w:t>
            </w:r>
            <w:r>
              <w:rPr>
                <w:rFonts w:hint="eastAsia" w:ascii="宋体" w:hAnsi="宋体" w:eastAsia="宋体" w:cs="宋体"/>
                <w:bCs/>
                <w:color w:val="auto"/>
                <w:sz w:val="21"/>
                <w:szCs w:val="21"/>
                <w:highlight w:val="none"/>
                <w:lang w:val="en-US" w:eastAsia="zh-CN"/>
              </w:rPr>
              <w:t>3:30前完成清运，</w:t>
            </w:r>
            <w:r>
              <w:rPr>
                <w:rFonts w:hint="eastAsia" w:ascii="宋体" w:hAnsi="宋体" w:eastAsia="宋体" w:cs="宋体"/>
                <w:b/>
                <w:bCs w:val="0"/>
                <w:color w:val="auto"/>
                <w:sz w:val="21"/>
                <w:szCs w:val="21"/>
                <w:highlight w:val="none"/>
              </w:rPr>
              <w:t>保证日产日清</w:t>
            </w:r>
            <w:r>
              <w:rPr>
                <w:rFonts w:hint="eastAsia" w:ascii="宋体" w:hAnsi="宋体" w:eastAsia="宋体" w:cs="宋体"/>
                <w:bCs/>
                <w:color w:val="auto"/>
                <w:sz w:val="21"/>
                <w:szCs w:val="21"/>
                <w:highlight w:val="none"/>
              </w:rPr>
              <w:t>，按时按点清运</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如出现极端天气</w:t>
            </w:r>
            <w:r>
              <w:rPr>
                <w:rFonts w:hint="eastAsia" w:ascii="宋体" w:hAnsi="宋体" w:eastAsia="宋体" w:cs="宋体"/>
                <w:bCs/>
                <w:color w:val="auto"/>
                <w:sz w:val="21"/>
                <w:szCs w:val="21"/>
                <w:highlight w:val="none"/>
                <w:lang w:eastAsia="zh-CN"/>
              </w:rPr>
              <w:t>等</w:t>
            </w:r>
            <w:r>
              <w:rPr>
                <w:rFonts w:hint="eastAsia" w:ascii="宋体" w:hAnsi="宋体" w:eastAsia="宋体" w:cs="宋体"/>
                <w:bCs/>
                <w:color w:val="auto"/>
                <w:sz w:val="21"/>
                <w:szCs w:val="21"/>
                <w:highlight w:val="none"/>
              </w:rPr>
              <w:t>特殊情况</w:t>
            </w:r>
            <w:r>
              <w:rPr>
                <w:rFonts w:hint="eastAsia" w:ascii="宋体" w:hAnsi="宋体" w:eastAsia="宋体" w:cs="宋体"/>
                <w:bCs/>
                <w:color w:val="auto"/>
                <w:sz w:val="21"/>
                <w:szCs w:val="21"/>
                <w:highlight w:val="none"/>
                <w:lang w:eastAsia="zh-CN"/>
              </w:rPr>
              <w:t>，参选人通过电话等方式与采购人沟通并同意后延迟作业，</w:t>
            </w:r>
            <w:r>
              <w:rPr>
                <w:rFonts w:hint="eastAsia" w:ascii="宋体" w:hAnsi="宋体" w:eastAsia="宋体" w:cs="宋体"/>
                <w:bCs/>
                <w:color w:val="auto"/>
                <w:sz w:val="21"/>
                <w:szCs w:val="21"/>
                <w:highlight w:val="none"/>
              </w:rPr>
              <w:t>清运时间间隔不得超过</w:t>
            </w:r>
            <w:r>
              <w:rPr>
                <w:rFonts w:hint="eastAsia" w:ascii="宋体" w:hAnsi="宋体" w:eastAsia="宋体" w:cs="宋体"/>
                <w:bCs/>
                <w:color w:val="auto"/>
                <w:sz w:val="21"/>
                <w:szCs w:val="21"/>
                <w:highlight w:val="none"/>
                <w:lang w:val="en-US" w:eastAsia="zh-CN"/>
              </w:rPr>
              <w:t>24</w:t>
            </w:r>
            <w:r>
              <w:rPr>
                <w:rFonts w:hint="eastAsia" w:ascii="宋体" w:hAnsi="宋体" w:eastAsia="宋体" w:cs="宋体"/>
                <w:bCs/>
                <w:color w:val="auto"/>
                <w:sz w:val="21"/>
                <w:szCs w:val="21"/>
                <w:highlight w:val="none"/>
              </w:rPr>
              <w:t>小时。</w:t>
            </w:r>
          </w:p>
          <w:p w14:paraId="0445C170">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0"/>
                <w:sz w:val="21"/>
                <w:szCs w:val="21"/>
                <w:highlight w:val="none"/>
                <w:lang w:val="en-US" w:eastAsia="zh-CN" w:bidi="ar-SA"/>
              </w:rPr>
              <w:t>3、作业记录表：每次清运作业，作业记录表提交采购人需求管理部门存档，记录内容至少包括作业日期、时间、垃圾数量（单位：桶）、作业人员签名、经采购人需求管理部门签名确认。每月结算前提交作业记录汇总表，并经采购人需求管理部门签名确认。</w:t>
            </w:r>
          </w:p>
        </w:tc>
        <w:tc>
          <w:tcPr>
            <w:tcW w:w="398" w:type="pct"/>
            <w:vAlign w:val="center"/>
          </w:tcPr>
          <w:p w14:paraId="4A1B4DF1">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6F4021F6">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5D17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42C09E7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w:t>
            </w:r>
          </w:p>
        </w:tc>
        <w:tc>
          <w:tcPr>
            <w:tcW w:w="3790" w:type="pct"/>
            <w:vAlign w:val="center"/>
          </w:tcPr>
          <w:p w14:paraId="0F7BEA28">
            <w:pPr>
              <w:pStyle w:val="48"/>
              <w:keepNext w:val="0"/>
              <w:keepLines w:val="0"/>
              <w:widowControl/>
              <w:suppressLineNumbers w:val="0"/>
              <w:spacing w:before="0" w:beforeAutospacing="0" w:after="0" w:afterAutospacing="0" w:line="240" w:lineRule="auto"/>
              <w:ind w:left="0" w:right="0"/>
              <w:jc w:val="both"/>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color w:val="auto"/>
                <w:kern w:val="0"/>
                <w:sz w:val="21"/>
                <w:szCs w:val="21"/>
                <w:highlight w:val="none"/>
                <w:lang w:val="en-US" w:eastAsia="zh-CN" w:bidi="ar-SA"/>
              </w:rPr>
              <w:t>1）至少一人</w:t>
            </w:r>
            <w:r>
              <w:rPr>
                <w:rFonts w:hint="eastAsia" w:ascii="宋体" w:hAnsi="宋体" w:eastAsia="宋体" w:cs="宋体"/>
                <w:color w:val="auto"/>
                <w:sz w:val="21"/>
                <w:szCs w:val="21"/>
                <w:highlight w:val="none"/>
                <w:lang w:val="en-US" w:eastAsia="zh-CN"/>
              </w:rPr>
              <w:t>须具备有效的《机动车驾驶证》，且准驾车型为B2或A2或A1。</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提供证书扫描件并加盖参选人公章</w:t>
            </w:r>
            <w:r>
              <w:rPr>
                <w:rFonts w:hint="eastAsia" w:ascii="宋体" w:hAnsi="宋体" w:eastAsia="宋体" w:cs="宋体"/>
                <w:b/>
                <w:bCs/>
                <w:color w:val="auto"/>
                <w:sz w:val="21"/>
                <w:szCs w:val="21"/>
                <w:highlight w:val="none"/>
                <w:lang w:val="en-US" w:eastAsia="zh-CN"/>
              </w:rPr>
              <w:t>）</w:t>
            </w:r>
          </w:p>
        </w:tc>
        <w:tc>
          <w:tcPr>
            <w:tcW w:w="398" w:type="pct"/>
            <w:vAlign w:val="center"/>
          </w:tcPr>
          <w:p w14:paraId="25395456">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3CD3C254">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6736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65FF254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w:t>
            </w:r>
          </w:p>
        </w:tc>
        <w:tc>
          <w:tcPr>
            <w:tcW w:w="3790" w:type="pct"/>
            <w:vAlign w:val="center"/>
          </w:tcPr>
          <w:p w14:paraId="436543ED">
            <w:pPr>
              <w:pStyle w:val="48"/>
              <w:keepNext w:val="0"/>
              <w:keepLines w:val="0"/>
              <w:widowControl/>
              <w:suppressLineNumbers w:val="0"/>
              <w:spacing w:before="0" w:beforeAutospacing="0" w:after="0" w:afterAutospacing="0" w:line="240" w:lineRule="auto"/>
              <w:ind w:left="0" w:right="0"/>
              <w:jc w:val="both"/>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kern w:val="0"/>
                <w:sz w:val="21"/>
                <w:szCs w:val="21"/>
                <w:highlight w:val="none"/>
                <w:lang w:val="en-US" w:eastAsia="zh-CN" w:bidi="ar-SA"/>
              </w:rPr>
              <w:t>至少一人</w:t>
            </w:r>
            <w:r>
              <w:rPr>
                <w:rFonts w:hint="eastAsia" w:ascii="宋体" w:hAnsi="宋体" w:eastAsia="宋体" w:cs="宋体"/>
                <w:color w:val="auto"/>
                <w:sz w:val="21"/>
                <w:szCs w:val="21"/>
                <w:highlight w:val="none"/>
                <w:lang w:val="en-US" w:eastAsia="zh-CN"/>
              </w:rPr>
              <w:t>须具备有效的《中华人民共和国道路运输从业人员从业资格证》，且准驾车型为B2或A2或A1，从业资格类型包含经营性道路货物运输驾驶员。</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提供证书扫描件并加盖参选人公章</w:t>
            </w:r>
            <w:r>
              <w:rPr>
                <w:rFonts w:hint="eastAsia" w:ascii="宋体" w:hAnsi="宋体" w:eastAsia="宋体" w:cs="宋体"/>
                <w:b/>
                <w:bCs/>
                <w:color w:val="auto"/>
                <w:sz w:val="21"/>
                <w:szCs w:val="21"/>
                <w:highlight w:val="none"/>
                <w:lang w:val="en-US" w:eastAsia="zh-CN"/>
              </w:rPr>
              <w:t>）</w:t>
            </w:r>
          </w:p>
        </w:tc>
        <w:tc>
          <w:tcPr>
            <w:tcW w:w="398" w:type="pct"/>
            <w:vAlign w:val="center"/>
          </w:tcPr>
          <w:p w14:paraId="5C86B955">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310FCDB7">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6301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523E195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w:t>
            </w:r>
          </w:p>
        </w:tc>
        <w:tc>
          <w:tcPr>
            <w:tcW w:w="3790" w:type="pct"/>
            <w:vAlign w:val="center"/>
          </w:tcPr>
          <w:p w14:paraId="43AFC679">
            <w:pPr>
              <w:pStyle w:val="48"/>
              <w:keepNext w:val="0"/>
              <w:keepLines w:val="0"/>
              <w:widowControl/>
              <w:suppressLineNumbers w:val="0"/>
              <w:spacing w:before="0" w:beforeAutospacing="0" w:after="0" w:afterAutospacing="0" w:line="240" w:lineRule="auto"/>
              <w:ind w:left="0" w:right="0"/>
              <w:jc w:val="both"/>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color w:val="auto"/>
                <w:kern w:val="0"/>
                <w:sz w:val="21"/>
                <w:szCs w:val="21"/>
                <w:highlight w:val="none"/>
                <w:lang w:val="en-US" w:eastAsia="zh-CN" w:bidi="ar-SA"/>
              </w:rPr>
              <w:t>5）服务人员不少于 2人（其中</w:t>
            </w:r>
            <w:r>
              <w:rPr>
                <w:rFonts w:hint="eastAsia" w:ascii="宋体" w:hAnsi="宋体" w:eastAsia="宋体" w:cs="宋体"/>
                <w:b/>
                <w:bCs/>
                <w:color w:val="auto"/>
                <w:kern w:val="0"/>
                <w:sz w:val="21"/>
                <w:szCs w:val="21"/>
                <w:highlight w:val="none"/>
                <w:lang w:val="en-US" w:eastAsia="zh-CN" w:bidi="ar-SA"/>
              </w:rPr>
              <w:t>至少</w:t>
            </w:r>
            <w:r>
              <w:rPr>
                <w:rFonts w:hint="eastAsia" w:ascii="宋体" w:hAnsi="宋体" w:eastAsia="宋体" w:cs="宋体"/>
                <w:color w:val="auto"/>
                <w:kern w:val="0"/>
                <w:sz w:val="21"/>
                <w:szCs w:val="21"/>
                <w:highlight w:val="none"/>
                <w:lang w:val="en-US" w:eastAsia="zh-CN" w:bidi="ar-SA"/>
              </w:rPr>
              <w:t>包含1名司机人员及1名操作人员），服务人员由参选人自行管理。</w:t>
            </w:r>
          </w:p>
        </w:tc>
        <w:tc>
          <w:tcPr>
            <w:tcW w:w="398" w:type="pct"/>
            <w:vAlign w:val="center"/>
          </w:tcPr>
          <w:p w14:paraId="68D236A2">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34780B7F">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7FE8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7CB649B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w:t>
            </w:r>
          </w:p>
        </w:tc>
        <w:tc>
          <w:tcPr>
            <w:tcW w:w="3790" w:type="pct"/>
            <w:vAlign w:val="center"/>
          </w:tcPr>
          <w:p w14:paraId="7F8879D0">
            <w:pPr>
              <w:pStyle w:val="4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kern w:val="0"/>
                <w:sz w:val="21"/>
                <w:szCs w:val="21"/>
                <w:highlight w:val="none"/>
                <w:lang w:val="en-US" w:eastAsia="zh-CN" w:bidi="ar-SA"/>
              </w:rPr>
              <w:t>10、如因参选人引起的劳资纠纷等问题，影响正常工作时，采购人有权另行聘请人员确保正常工作，所产生的费用在参选人的合同费用中相应扣减。</w:t>
            </w:r>
          </w:p>
        </w:tc>
        <w:tc>
          <w:tcPr>
            <w:tcW w:w="398" w:type="pct"/>
            <w:vAlign w:val="center"/>
          </w:tcPr>
          <w:p w14:paraId="5ECD6293">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437262AC">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4649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3FB2999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w:t>
            </w:r>
          </w:p>
        </w:tc>
        <w:tc>
          <w:tcPr>
            <w:tcW w:w="3790" w:type="pct"/>
            <w:vAlign w:val="center"/>
          </w:tcPr>
          <w:p w14:paraId="51A5FDBA">
            <w:pPr>
              <w:keepNext w:val="0"/>
              <w:keepLines w:val="0"/>
              <w:pageBreakBefore w:val="0"/>
              <w:widowControl w:val="0"/>
              <w:numPr>
                <w:ilvl w:val="-1"/>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pacing w:val="3"/>
                <w:sz w:val="21"/>
                <w:szCs w:val="21"/>
                <w:highlight w:val="none"/>
                <w:lang w:val="en-US" w:eastAsia="zh-CN"/>
              </w:rPr>
              <w:t>三、验收要求</w:t>
            </w:r>
          </w:p>
          <w:p w14:paraId="2DBD685F">
            <w:pPr>
              <w:keepNext w:val="0"/>
              <w:keepLines w:val="0"/>
              <w:pageBreakBefore w:val="0"/>
              <w:widowControl w:val="0"/>
              <w:numPr>
                <w:ilvl w:val="-1"/>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36" w:firstLineChars="20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lang w:val="en-US" w:eastAsia="zh-CN"/>
              </w:rPr>
              <w:t>（1）项目管理和服务月度质量满意度考评：从病人满意度、使用科室满意度、院级主管人员满意度三个维度对服务质量检查进行综合考评，综合考评分≥90分为合格，＜90分的为不合格，低于90分每下降1分扣罚当月服务费2000元。</w:t>
            </w:r>
          </w:p>
          <w:p w14:paraId="74271BE7">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32" w:firstLineChars="200"/>
              <w:jc w:val="both"/>
              <w:textAlignment w:val="auto"/>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3"/>
                <w:sz w:val="21"/>
                <w:szCs w:val="21"/>
                <w:highlight w:val="none"/>
                <w:lang w:val="en-US" w:eastAsia="zh-CN"/>
              </w:rPr>
              <w:t>（2）同一个月内</w:t>
            </w:r>
            <w:r>
              <w:rPr>
                <w:rFonts w:hint="eastAsia" w:ascii="宋体" w:hAnsi="宋体" w:eastAsia="宋体" w:cs="宋体"/>
                <w:color w:val="auto"/>
                <w:spacing w:val="4"/>
                <w:sz w:val="21"/>
                <w:szCs w:val="21"/>
                <w:highlight w:val="none"/>
                <w:lang w:val="en-US" w:eastAsia="zh-CN"/>
              </w:rPr>
              <w:t>出现两次达不到采购人服务要求的，或连续三个月满意度均低于90分，或一年内累计有4个月满意度均低于90分，采购人有权解除合同，违约责任由参选人负责，由此造成的一切损失均由参选人负责。</w:t>
            </w:r>
          </w:p>
          <w:p w14:paraId="5D701AD9">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验收、履约考评标准：总分100分，考评通过《服务满意度评分表》进行综合考评。</w:t>
            </w:r>
          </w:p>
          <w:tbl>
            <w:tblPr>
              <w:tblStyle w:val="24"/>
              <w:tblW w:w="494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6"/>
              <w:gridCol w:w="883"/>
              <w:gridCol w:w="427"/>
              <w:gridCol w:w="2441"/>
              <w:gridCol w:w="819"/>
              <w:gridCol w:w="627"/>
              <w:gridCol w:w="879"/>
            </w:tblGrid>
            <w:tr w14:paraId="57ECC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000" w:type="pct"/>
                  <w:gridSpan w:val="7"/>
                  <w:tcBorders>
                    <w:tl2br w:val="nil"/>
                    <w:tr2bl w:val="nil"/>
                  </w:tcBorders>
                  <w:noWrap w:val="0"/>
                  <w:vAlign w:val="center"/>
                </w:tcPr>
                <w:p w14:paraId="58D40C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服务满意度评分表（2026年版）</w:t>
                  </w:r>
                  <w:r>
                    <w:rPr>
                      <w:rFonts w:hint="eastAsia" w:ascii="宋体" w:hAnsi="宋体" w:eastAsia="宋体" w:cs="宋体"/>
                      <w:b/>
                      <w:bCs/>
                      <w:i w:val="0"/>
                      <w:iCs w:val="0"/>
                      <w:color w:val="auto"/>
                      <w:kern w:val="0"/>
                      <w:sz w:val="21"/>
                      <w:szCs w:val="21"/>
                      <w:highlight w:val="none"/>
                      <w:u w:val="none"/>
                      <w:lang w:val="en-US" w:eastAsia="zh-CN" w:bidi="ar"/>
                    </w:rPr>
                    <w:br w:type="textWrapping"/>
                  </w:r>
                  <w:r>
                    <w:rPr>
                      <w:rStyle w:val="65"/>
                      <w:rFonts w:hint="eastAsia" w:ascii="宋体" w:hAnsi="宋体" w:eastAsia="宋体" w:cs="宋体"/>
                      <w:color w:val="auto"/>
                      <w:sz w:val="21"/>
                      <w:szCs w:val="21"/>
                      <w:highlight w:val="none"/>
                      <w:lang w:val="en-US" w:eastAsia="zh-CN" w:bidi="ar"/>
                    </w:rPr>
                    <w:t xml:space="preserve">    </w:t>
                  </w:r>
                  <w:r>
                    <w:rPr>
                      <w:rStyle w:val="66"/>
                      <w:rFonts w:hint="eastAsia" w:ascii="宋体" w:hAnsi="宋体" w:eastAsia="宋体" w:cs="宋体"/>
                      <w:color w:val="auto"/>
                      <w:sz w:val="21"/>
                      <w:szCs w:val="21"/>
                      <w:highlight w:val="none"/>
                      <w:lang w:val="en-US" w:eastAsia="zh-CN" w:bidi="ar"/>
                    </w:rPr>
                    <w:t>年</w:t>
                  </w:r>
                  <w:r>
                    <w:rPr>
                      <w:rStyle w:val="65"/>
                      <w:rFonts w:hint="eastAsia" w:ascii="宋体" w:hAnsi="宋体" w:eastAsia="宋体" w:cs="宋体"/>
                      <w:color w:val="auto"/>
                      <w:sz w:val="21"/>
                      <w:szCs w:val="21"/>
                      <w:highlight w:val="none"/>
                      <w:lang w:val="en-US" w:eastAsia="zh-CN" w:bidi="ar"/>
                    </w:rPr>
                    <w:t xml:space="preserve">   </w:t>
                  </w:r>
                  <w:r>
                    <w:rPr>
                      <w:rStyle w:val="66"/>
                      <w:rFonts w:hint="eastAsia" w:ascii="宋体" w:hAnsi="宋体" w:eastAsia="宋体" w:cs="宋体"/>
                      <w:color w:val="auto"/>
                      <w:sz w:val="21"/>
                      <w:szCs w:val="21"/>
                      <w:highlight w:val="none"/>
                      <w:lang w:val="en-US" w:eastAsia="zh-CN" w:bidi="ar"/>
                    </w:rPr>
                    <w:t>月</w:t>
                  </w:r>
                </w:p>
              </w:tc>
            </w:tr>
            <w:tr w14:paraId="3E32D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439" w:type="pct"/>
                  <w:gridSpan w:val="3"/>
                  <w:tcBorders>
                    <w:tl2br w:val="nil"/>
                    <w:tr2bl w:val="nil"/>
                  </w:tcBorders>
                  <w:noWrap/>
                  <w:vAlign w:val="center"/>
                </w:tcPr>
                <w:p w14:paraId="2F355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院区：</w:t>
                  </w:r>
                </w:p>
              </w:tc>
              <w:tc>
                <w:tcPr>
                  <w:tcW w:w="2252" w:type="pct"/>
                  <w:tcBorders>
                    <w:tl2br w:val="nil"/>
                    <w:tr2bl w:val="nil"/>
                  </w:tcBorders>
                  <w:noWrap/>
                  <w:vAlign w:val="center"/>
                </w:tcPr>
                <w:p w14:paraId="7639E8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评分人签名：</w:t>
                  </w:r>
                </w:p>
              </w:tc>
              <w:tc>
                <w:tcPr>
                  <w:tcW w:w="1307" w:type="pct"/>
                  <w:gridSpan w:val="3"/>
                  <w:tcBorders>
                    <w:tl2br w:val="nil"/>
                    <w:tr2bl w:val="nil"/>
                  </w:tcBorders>
                  <w:noWrap/>
                  <w:vAlign w:val="center"/>
                </w:tcPr>
                <w:p w14:paraId="27DA4E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填表时间： 年 月  日</w:t>
                  </w:r>
                </w:p>
              </w:tc>
            </w:tr>
            <w:tr w14:paraId="29D8D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29" w:type="pct"/>
                  <w:tcBorders>
                    <w:tl2br w:val="nil"/>
                    <w:tr2bl w:val="nil"/>
                  </w:tcBorders>
                  <w:noWrap w:val="0"/>
                  <w:vAlign w:val="center"/>
                </w:tcPr>
                <w:p w14:paraId="2E8E9B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方向</w:t>
                  </w:r>
                </w:p>
              </w:tc>
              <w:tc>
                <w:tcPr>
                  <w:tcW w:w="815" w:type="pct"/>
                  <w:tcBorders>
                    <w:tl2br w:val="nil"/>
                    <w:tr2bl w:val="nil"/>
                  </w:tcBorders>
                  <w:noWrap w:val="0"/>
                  <w:vAlign w:val="center"/>
                </w:tcPr>
                <w:p w14:paraId="5E124C8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w:t>
                  </w:r>
                </w:p>
              </w:tc>
              <w:tc>
                <w:tcPr>
                  <w:tcW w:w="294" w:type="pct"/>
                  <w:tcBorders>
                    <w:tl2br w:val="nil"/>
                    <w:tr2bl w:val="nil"/>
                  </w:tcBorders>
                  <w:noWrap w:val="0"/>
                  <w:vAlign w:val="center"/>
                </w:tcPr>
                <w:p w14:paraId="73FF1C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2252" w:type="pct"/>
                  <w:tcBorders>
                    <w:tl2br w:val="nil"/>
                    <w:tr2bl w:val="nil"/>
                  </w:tcBorders>
                  <w:noWrap w:val="0"/>
                  <w:vAlign w:val="center"/>
                </w:tcPr>
                <w:p w14:paraId="101190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评分细则</w:t>
                  </w:r>
                </w:p>
              </w:tc>
              <w:tc>
                <w:tcPr>
                  <w:tcW w:w="461" w:type="pct"/>
                  <w:tcBorders>
                    <w:tl2br w:val="nil"/>
                    <w:tr2bl w:val="nil"/>
                  </w:tcBorders>
                  <w:noWrap w:val="0"/>
                  <w:vAlign w:val="center"/>
                </w:tcPr>
                <w:p w14:paraId="3F005B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分值</w:t>
                  </w:r>
                </w:p>
              </w:tc>
              <w:tc>
                <w:tcPr>
                  <w:tcW w:w="353" w:type="pct"/>
                  <w:tcBorders>
                    <w:tl2br w:val="nil"/>
                    <w:tr2bl w:val="nil"/>
                  </w:tcBorders>
                  <w:noWrap w:val="0"/>
                  <w:vAlign w:val="center"/>
                </w:tcPr>
                <w:p w14:paraId="1166BE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扣分</w:t>
                  </w:r>
                </w:p>
              </w:tc>
              <w:tc>
                <w:tcPr>
                  <w:tcW w:w="491" w:type="pct"/>
                  <w:tcBorders>
                    <w:tl2br w:val="nil"/>
                    <w:tr2bl w:val="nil"/>
                  </w:tcBorders>
                  <w:noWrap w:val="0"/>
                  <w:vAlign w:val="center"/>
                </w:tcPr>
                <w:p w14:paraId="2A507D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扣分原因</w:t>
                  </w:r>
                </w:p>
              </w:tc>
            </w:tr>
            <w:tr w14:paraId="017FF8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329" w:type="pct"/>
                  <w:vMerge w:val="restart"/>
                  <w:tcBorders>
                    <w:tl2br w:val="nil"/>
                    <w:tr2bl w:val="nil"/>
                  </w:tcBorders>
                  <w:noWrap/>
                  <w:textDirection w:val="tbRlV"/>
                  <w:vAlign w:val="center"/>
                </w:tcPr>
                <w:p w14:paraId="0E06B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管理方面（30分）</w:t>
                  </w:r>
                </w:p>
              </w:tc>
              <w:tc>
                <w:tcPr>
                  <w:tcW w:w="815" w:type="pct"/>
                  <w:tcBorders>
                    <w:tl2br w:val="nil"/>
                    <w:tr2bl w:val="nil"/>
                  </w:tcBorders>
                  <w:noWrap w:val="0"/>
                  <w:vAlign w:val="center"/>
                </w:tcPr>
                <w:p w14:paraId="117F1D0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仪态仪表</w:t>
                  </w:r>
                </w:p>
              </w:tc>
              <w:tc>
                <w:tcPr>
                  <w:tcW w:w="294" w:type="pct"/>
                  <w:tcBorders>
                    <w:tl2br w:val="nil"/>
                    <w:tr2bl w:val="nil"/>
                  </w:tcBorders>
                  <w:noWrap w:val="0"/>
                  <w:vAlign w:val="center"/>
                </w:tcPr>
                <w:p w14:paraId="62156596">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2252" w:type="pct"/>
                  <w:tcBorders>
                    <w:tl2br w:val="nil"/>
                    <w:tr2bl w:val="nil"/>
                  </w:tcBorders>
                  <w:noWrap w:val="0"/>
                  <w:vAlign w:val="center"/>
                </w:tcPr>
                <w:p w14:paraId="3181C8C4">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工作人员穿统一工装，佩戴工作证</w:t>
                  </w:r>
                </w:p>
              </w:tc>
              <w:tc>
                <w:tcPr>
                  <w:tcW w:w="461" w:type="pct"/>
                  <w:vMerge w:val="restart"/>
                  <w:tcBorders>
                    <w:tl2br w:val="nil"/>
                    <w:tr2bl w:val="nil"/>
                  </w:tcBorders>
                  <w:noWrap w:val="0"/>
                  <w:vAlign w:val="center"/>
                </w:tcPr>
                <w:p w14:paraId="6B4DEC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每有一项不达标，扣3分</w:t>
                  </w:r>
                </w:p>
              </w:tc>
              <w:tc>
                <w:tcPr>
                  <w:tcW w:w="353" w:type="pct"/>
                  <w:vMerge w:val="restart"/>
                  <w:tcBorders>
                    <w:tl2br w:val="nil"/>
                    <w:tr2bl w:val="nil"/>
                  </w:tcBorders>
                  <w:noWrap w:val="0"/>
                  <w:vAlign w:val="center"/>
                </w:tcPr>
                <w:p w14:paraId="6C0D8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restart"/>
                  <w:tcBorders>
                    <w:tl2br w:val="nil"/>
                    <w:tr2bl w:val="nil"/>
                  </w:tcBorders>
                  <w:noWrap w:val="0"/>
                  <w:vAlign w:val="center"/>
                </w:tcPr>
                <w:p w14:paraId="2EAB27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1C9D4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trPr>
              <w:tc>
                <w:tcPr>
                  <w:tcW w:w="329" w:type="pct"/>
                  <w:vMerge w:val="continue"/>
                  <w:tcBorders>
                    <w:tl2br w:val="nil"/>
                    <w:tr2bl w:val="nil"/>
                  </w:tcBorders>
                  <w:noWrap/>
                  <w:textDirection w:val="tbRlV"/>
                  <w:vAlign w:val="center"/>
                </w:tcPr>
                <w:p w14:paraId="1B4396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restart"/>
                  <w:tcBorders>
                    <w:tl2br w:val="nil"/>
                    <w:tr2bl w:val="nil"/>
                  </w:tcBorders>
                  <w:noWrap w:val="0"/>
                  <w:vAlign w:val="center"/>
                </w:tcPr>
                <w:p w14:paraId="377A403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服务态度</w:t>
                  </w:r>
                </w:p>
              </w:tc>
              <w:tc>
                <w:tcPr>
                  <w:tcW w:w="294" w:type="pct"/>
                  <w:tcBorders>
                    <w:tl2br w:val="nil"/>
                    <w:tr2bl w:val="nil"/>
                  </w:tcBorders>
                  <w:noWrap w:val="0"/>
                  <w:vAlign w:val="center"/>
                </w:tcPr>
                <w:p w14:paraId="1AADBA58">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252" w:type="pct"/>
                  <w:tcBorders>
                    <w:tl2br w:val="nil"/>
                    <w:tr2bl w:val="nil"/>
                  </w:tcBorders>
                  <w:noWrap w:val="0"/>
                  <w:vAlign w:val="center"/>
                </w:tcPr>
                <w:p w14:paraId="33F5DE85">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服务态度良好，行为规范，文明礼貌，无相关投诉及抱怨。</w:t>
                  </w:r>
                </w:p>
              </w:tc>
              <w:tc>
                <w:tcPr>
                  <w:tcW w:w="461" w:type="pct"/>
                  <w:vMerge w:val="continue"/>
                  <w:tcBorders>
                    <w:tl2br w:val="nil"/>
                    <w:tr2bl w:val="nil"/>
                  </w:tcBorders>
                  <w:noWrap w:val="0"/>
                  <w:vAlign w:val="center"/>
                </w:tcPr>
                <w:p w14:paraId="17D62A8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49647D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22AFD5A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55109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trPr>
              <w:tc>
                <w:tcPr>
                  <w:tcW w:w="329" w:type="pct"/>
                  <w:vMerge w:val="continue"/>
                  <w:tcBorders>
                    <w:tl2br w:val="nil"/>
                    <w:tr2bl w:val="nil"/>
                  </w:tcBorders>
                  <w:noWrap/>
                  <w:textDirection w:val="tbRlV"/>
                  <w:vAlign w:val="center"/>
                </w:tcPr>
                <w:p w14:paraId="786A1D2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23A1136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070134AA">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252" w:type="pct"/>
                  <w:tcBorders>
                    <w:tl2br w:val="nil"/>
                    <w:tr2bl w:val="nil"/>
                  </w:tcBorders>
                  <w:noWrap w:val="0"/>
                  <w:vAlign w:val="center"/>
                </w:tcPr>
                <w:p w14:paraId="26B9E89E">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按时提供服务</w:t>
                  </w:r>
                </w:p>
              </w:tc>
              <w:tc>
                <w:tcPr>
                  <w:tcW w:w="461" w:type="pct"/>
                  <w:vMerge w:val="continue"/>
                  <w:tcBorders>
                    <w:tl2br w:val="nil"/>
                    <w:tr2bl w:val="nil"/>
                  </w:tcBorders>
                  <w:noWrap w:val="0"/>
                  <w:vAlign w:val="center"/>
                </w:tcPr>
                <w:p w14:paraId="36ACBB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0D370C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3E11306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28272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329" w:type="pct"/>
                  <w:vMerge w:val="continue"/>
                  <w:tcBorders>
                    <w:tl2br w:val="nil"/>
                    <w:tr2bl w:val="nil"/>
                  </w:tcBorders>
                  <w:noWrap/>
                  <w:textDirection w:val="tbRlV"/>
                  <w:vAlign w:val="center"/>
                </w:tcPr>
                <w:p w14:paraId="76F04C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tcBorders>
                    <w:tl2br w:val="nil"/>
                    <w:tr2bl w:val="nil"/>
                  </w:tcBorders>
                  <w:noWrap w:val="0"/>
                  <w:vAlign w:val="center"/>
                </w:tcPr>
                <w:p w14:paraId="1C1B4A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人员安排</w:t>
                  </w:r>
                </w:p>
              </w:tc>
              <w:tc>
                <w:tcPr>
                  <w:tcW w:w="294" w:type="pct"/>
                  <w:tcBorders>
                    <w:tl2br w:val="nil"/>
                    <w:tr2bl w:val="nil"/>
                  </w:tcBorders>
                  <w:noWrap w:val="0"/>
                  <w:vAlign w:val="center"/>
                </w:tcPr>
                <w:p w14:paraId="0C39984E">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252" w:type="pct"/>
                  <w:tcBorders>
                    <w:tl2br w:val="nil"/>
                    <w:tr2bl w:val="nil"/>
                  </w:tcBorders>
                  <w:noWrap w:val="0"/>
                  <w:vAlign w:val="center"/>
                </w:tcPr>
                <w:p w14:paraId="4F5E867B">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员工队伍稳定，能按要求配置相关人员，出现空缺时，能及时补充。</w:t>
                  </w:r>
                </w:p>
              </w:tc>
              <w:tc>
                <w:tcPr>
                  <w:tcW w:w="461" w:type="pct"/>
                  <w:vMerge w:val="continue"/>
                  <w:tcBorders>
                    <w:tl2br w:val="nil"/>
                    <w:tr2bl w:val="nil"/>
                  </w:tcBorders>
                  <w:noWrap w:val="0"/>
                  <w:vAlign w:val="center"/>
                </w:tcPr>
                <w:p w14:paraId="1AA854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A478B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F5C70F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2671C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329" w:type="pct"/>
                  <w:vMerge w:val="continue"/>
                  <w:tcBorders>
                    <w:tl2br w:val="nil"/>
                    <w:tr2bl w:val="nil"/>
                  </w:tcBorders>
                  <w:noWrap/>
                  <w:textDirection w:val="tbRlV"/>
                  <w:vAlign w:val="center"/>
                </w:tcPr>
                <w:p w14:paraId="4EE1D6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tcBorders>
                    <w:tl2br w:val="nil"/>
                    <w:tr2bl w:val="nil"/>
                  </w:tcBorders>
                  <w:noWrap w:val="0"/>
                  <w:vAlign w:val="center"/>
                </w:tcPr>
                <w:p w14:paraId="05AE9E7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上级单位检查结果</w:t>
                  </w:r>
                </w:p>
              </w:tc>
              <w:tc>
                <w:tcPr>
                  <w:tcW w:w="294" w:type="pct"/>
                  <w:tcBorders>
                    <w:tl2br w:val="nil"/>
                    <w:tr2bl w:val="nil"/>
                  </w:tcBorders>
                  <w:noWrap w:val="0"/>
                  <w:vAlign w:val="center"/>
                </w:tcPr>
                <w:p w14:paraId="012C2D29">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252" w:type="pct"/>
                  <w:tcBorders>
                    <w:tl2br w:val="nil"/>
                    <w:tr2bl w:val="nil"/>
                  </w:tcBorders>
                  <w:noWrap w:val="0"/>
                  <w:vAlign w:val="center"/>
                </w:tcPr>
                <w:p w14:paraId="28DEA960">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配合医院做好各级相关检查工作</w:t>
                  </w:r>
                </w:p>
              </w:tc>
              <w:tc>
                <w:tcPr>
                  <w:tcW w:w="461" w:type="pct"/>
                  <w:vMerge w:val="continue"/>
                  <w:tcBorders>
                    <w:tl2br w:val="nil"/>
                    <w:tr2bl w:val="nil"/>
                  </w:tcBorders>
                  <w:noWrap w:val="0"/>
                  <w:vAlign w:val="center"/>
                </w:tcPr>
                <w:p w14:paraId="44E52C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49ECA9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41B874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59528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329" w:type="pct"/>
                  <w:vMerge w:val="restart"/>
                  <w:tcBorders>
                    <w:tl2br w:val="nil"/>
                    <w:tr2bl w:val="nil"/>
                  </w:tcBorders>
                  <w:noWrap/>
                  <w:textDirection w:val="tbRlV"/>
                  <w:vAlign w:val="center"/>
                </w:tcPr>
                <w:p w14:paraId="29FFBA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服务质量方面（70分）</w:t>
                  </w:r>
                </w:p>
              </w:tc>
              <w:tc>
                <w:tcPr>
                  <w:tcW w:w="815" w:type="pct"/>
                  <w:vMerge w:val="restart"/>
                  <w:tcBorders>
                    <w:tl2br w:val="nil"/>
                    <w:tr2bl w:val="nil"/>
                  </w:tcBorders>
                  <w:noWrap w:val="0"/>
                  <w:vAlign w:val="center"/>
                </w:tcPr>
                <w:p w14:paraId="5424A2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服务质量</w:t>
                  </w:r>
                </w:p>
              </w:tc>
              <w:tc>
                <w:tcPr>
                  <w:tcW w:w="294" w:type="pct"/>
                  <w:tcBorders>
                    <w:tl2br w:val="nil"/>
                    <w:tr2bl w:val="nil"/>
                  </w:tcBorders>
                  <w:noWrap w:val="0"/>
                  <w:vAlign w:val="center"/>
                </w:tcPr>
                <w:p w14:paraId="30915B0D">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252" w:type="pct"/>
                  <w:tcBorders>
                    <w:tl2br w:val="nil"/>
                    <w:tr2bl w:val="nil"/>
                  </w:tcBorders>
                  <w:noWrap w:val="0"/>
                  <w:vAlign w:val="center"/>
                </w:tcPr>
                <w:p w14:paraId="5A0A21C6">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作业记录表符合要求</w:t>
                  </w:r>
                </w:p>
              </w:tc>
              <w:tc>
                <w:tcPr>
                  <w:tcW w:w="461" w:type="pct"/>
                  <w:vMerge w:val="restart"/>
                  <w:tcBorders>
                    <w:tl2br w:val="nil"/>
                    <w:tr2bl w:val="nil"/>
                  </w:tcBorders>
                  <w:shd w:val="clear" w:color="auto" w:fill="auto"/>
                  <w:noWrap w:val="0"/>
                  <w:vAlign w:val="center"/>
                </w:tcPr>
                <w:p w14:paraId="71241C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每有一项不达标，扣5分</w:t>
                  </w:r>
                </w:p>
              </w:tc>
              <w:tc>
                <w:tcPr>
                  <w:tcW w:w="353" w:type="pct"/>
                  <w:vMerge w:val="restart"/>
                  <w:tcBorders>
                    <w:tl2br w:val="nil"/>
                    <w:tr2bl w:val="nil"/>
                  </w:tcBorders>
                  <w:shd w:val="clear" w:color="auto" w:fill="auto"/>
                  <w:noWrap w:val="0"/>
                  <w:vAlign w:val="center"/>
                </w:tcPr>
                <w:p w14:paraId="4C36C6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1"/>
                      <w:szCs w:val="21"/>
                      <w:highlight w:val="none"/>
                      <w:u w:val="none"/>
                      <w:lang w:val="en-US" w:eastAsia="zh-CN" w:bidi="ar-SA"/>
                    </w:rPr>
                  </w:pPr>
                </w:p>
              </w:tc>
              <w:tc>
                <w:tcPr>
                  <w:tcW w:w="491" w:type="pct"/>
                  <w:vMerge w:val="restart"/>
                  <w:tcBorders>
                    <w:tl2br w:val="nil"/>
                    <w:tr2bl w:val="nil"/>
                  </w:tcBorders>
                  <w:noWrap w:val="0"/>
                  <w:vAlign w:val="center"/>
                </w:tcPr>
                <w:p w14:paraId="7D2A2C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B0EB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trPr>
              <w:tc>
                <w:tcPr>
                  <w:tcW w:w="329" w:type="pct"/>
                  <w:vMerge w:val="continue"/>
                  <w:tcBorders>
                    <w:tl2br w:val="nil"/>
                    <w:tr2bl w:val="nil"/>
                  </w:tcBorders>
                  <w:noWrap/>
                  <w:textDirection w:val="tbRlV"/>
                  <w:vAlign w:val="center"/>
                </w:tcPr>
                <w:p w14:paraId="142521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072056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07EEBC93">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252" w:type="pct"/>
                  <w:tcBorders>
                    <w:tl2br w:val="nil"/>
                    <w:tr2bl w:val="nil"/>
                  </w:tcBorders>
                  <w:noWrap w:val="0"/>
                  <w:vAlign w:val="center"/>
                </w:tcPr>
                <w:p w14:paraId="5F62AECF">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作业时间符合要求</w:t>
                  </w:r>
                </w:p>
              </w:tc>
              <w:tc>
                <w:tcPr>
                  <w:tcW w:w="461" w:type="pct"/>
                  <w:vMerge w:val="continue"/>
                  <w:tcBorders>
                    <w:tl2br w:val="nil"/>
                    <w:tr2bl w:val="nil"/>
                  </w:tcBorders>
                  <w:noWrap w:val="0"/>
                  <w:vAlign w:val="center"/>
                </w:tcPr>
                <w:p w14:paraId="705AAA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337151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00D7A9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E3866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329" w:type="pct"/>
                  <w:vMerge w:val="continue"/>
                  <w:tcBorders>
                    <w:tl2br w:val="nil"/>
                    <w:tr2bl w:val="nil"/>
                  </w:tcBorders>
                  <w:noWrap/>
                  <w:textDirection w:val="tbRlV"/>
                  <w:vAlign w:val="center"/>
                </w:tcPr>
                <w:p w14:paraId="56FB52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785AFB5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45688BBF">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252" w:type="pct"/>
                  <w:tcBorders>
                    <w:tl2br w:val="nil"/>
                    <w:tr2bl w:val="nil"/>
                  </w:tcBorders>
                  <w:noWrap w:val="0"/>
                  <w:vAlign w:val="center"/>
                </w:tcPr>
                <w:p w14:paraId="1B8D8BF0">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安全作业符合要求</w:t>
                  </w:r>
                </w:p>
              </w:tc>
              <w:tc>
                <w:tcPr>
                  <w:tcW w:w="461" w:type="pct"/>
                  <w:vMerge w:val="continue"/>
                  <w:tcBorders>
                    <w:tl2br w:val="nil"/>
                    <w:tr2bl w:val="nil"/>
                  </w:tcBorders>
                  <w:noWrap w:val="0"/>
                  <w:vAlign w:val="center"/>
                </w:tcPr>
                <w:p w14:paraId="3C5C14F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2A8C1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1CB3A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5639B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329" w:type="pct"/>
                  <w:vMerge w:val="continue"/>
                  <w:tcBorders>
                    <w:tl2br w:val="nil"/>
                    <w:tr2bl w:val="nil"/>
                  </w:tcBorders>
                  <w:noWrap/>
                  <w:textDirection w:val="tbRlV"/>
                  <w:vAlign w:val="center"/>
                </w:tcPr>
                <w:p w14:paraId="63CE3BB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501A6D5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709B6533">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252" w:type="pct"/>
                  <w:tcBorders>
                    <w:tl2br w:val="nil"/>
                    <w:tr2bl w:val="nil"/>
                  </w:tcBorders>
                  <w:noWrap w:val="0"/>
                  <w:vAlign w:val="center"/>
                </w:tcPr>
                <w:p w14:paraId="58EDBFDC">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垃圾收集点卫生整洁，垃圾桶摆放整齐</w:t>
                  </w:r>
                </w:p>
              </w:tc>
              <w:tc>
                <w:tcPr>
                  <w:tcW w:w="461" w:type="pct"/>
                  <w:vMerge w:val="continue"/>
                  <w:tcBorders>
                    <w:tl2br w:val="nil"/>
                    <w:tr2bl w:val="nil"/>
                  </w:tcBorders>
                  <w:noWrap w:val="0"/>
                  <w:vAlign w:val="center"/>
                </w:tcPr>
                <w:p w14:paraId="66A344A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5705741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1BCEE8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123F5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rPr>
              <w:tc>
                <w:tcPr>
                  <w:tcW w:w="329" w:type="pct"/>
                  <w:vMerge w:val="continue"/>
                  <w:tcBorders>
                    <w:tl2br w:val="nil"/>
                    <w:tr2bl w:val="nil"/>
                  </w:tcBorders>
                  <w:noWrap/>
                  <w:textDirection w:val="tbRlV"/>
                  <w:vAlign w:val="center"/>
                </w:tcPr>
                <w:p w14:paraId="529F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0E54CA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2E13E4EB">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252" w:type="pct"/>
                  <w:tcBorders>
                    <w:tl2br w:val="nil"/>
                    <w:tr2bl w:val="nil"/>
                  </w:tcBorders>
                  <w:noWrap w:val="0"/>
                  <w:vAlign w:val="center"/>
                </w:tcPr>
                <w:p w14:paraId="024F106B">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中转站内的日常卫生清洁工作和管理，场内卫生整齐、干净</w:t>
                  </w:r>
                </w:p>
              </w:tc>
              <w:tc>
                <w:tcPr>
                  <w:tcW w:w="461" w:type="pct"/>
                  <w:vMerge w:val="continue"/>
                  <w:tcBorders>
                    <w:tl2br w:val="nil"/>
                    <w:tr2bl w:val="nil"/>
                  </w:tcBorders>
                  <w:noWrap w:val="0"/>
                  <w:vAlign w:val="center"/>
                </w:tcPr>
                <w:p w14:paraId="559554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4896DE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7DE93C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6ADFA3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1" w:hRule="atLeast"/>
              </w:trPr>
              <w:tc>
                <w:tcPr>
                  <w:tcW w:w="329" w:type="pct"/>
                  <w:vMerge w:val="continue"/>
                  <w:tcBorders>
                    <w:tl2br w:val="nil"/>
                    <w:tr2bl w:val="nil"/>
                  </w:tcBorders>
                  <w:noWrap/>
                  <w:textDirection w:val="tbRlV"/>
                  <w:vAlign w:val="center"/>
                </w:tcPr>
                <w:p w14:paraId="15D9158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628903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30F3B3A4">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2252" w:type="pct"/>
                  <w:tcBorders>
                    <w:tl2br w:val="nil"/>
                    <w:tr2bl w:val="nil"/>
                  </w:tcBorders>
                  <w:noWrap w:val="0"/>
                  <w:vAlign w:val="center"/>
                </w:tcPr>
                <w:p w14:paraId="0F3D9503">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未发生偷倒、乱倒废弃物，二次污染、破坏环境的非法行为</w:t>
                  </w:r>
                </w:p>
              </w:tc>
              <w:tc>
                <w:tcPr>
                  <w:tcW w:w="461" w:type="pct"/>
                  <w:vMerge w:val="continue"/>
                  <w:tcBorders>
                    <w:tl2br w:val="nil"/>
                    <w:tr2bl w:val="nil"/>
                  </w:tcBorders>
                  <w:noWrap w:val="0"/>
                  <w:vAlign w:val="center"/>
                </w:tcPr>
                <w:p w14:paraId="4933F8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1C112A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10BCC5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3E13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329" w:type="pct"/>
                  <w:vMerge w:val="continue"/>
                  <w:tcBorders>
                    <w:tl2br w:val="nil"/>
                    <w:tr2bl w:val="nil"/>
                  </w:tcBorders>
                  <w:noWrap/>
                  <w:textDirection w:val="tbRlV"/>
                  <w:vAlign w:val="center"/>
                </w:tcPr>
                <w:p w14:paraId="6549717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1EA8E6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45442B2E">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252" w:type="pct"/>
                  <w:tcBorders>
                    <w:tl2br w:val="nil"/>
                    <w:tr2bl w:val="nil"/>
                  </w:tcBorders>
                  <w:noWrap w:val="0"/>
                  <w:vAlign w:val="center"/>
                </w:tcPr>
                <w:p w14:paraId="7E402E00">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作业车辆无垃圾外露、无残余物外挂、无污水滴漏</w:t>
                  </w:r>
                </w:p>
              </w:tc>
              <w:tc>
                <w:tcPr>
                  <w:tcW w:w="461" w:type="pct"/>
                  <w:vMerge w:val="continue"/>
                  <w:tcBorders>
                    <w:tl2br w:val="nil"/>
                    <w:tr2bl w:val="nil"/>
                  </w:tcBorders>
                  <w:noWrap w:val="0"/>
                  <w:vAlign w:val="center"/>
                </w:tcPr>
                <w:p w14:paraId="7DDE92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69174B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7CD8C7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22FAD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329" w:type="pct"/>
                  <w:vMerge w:val="continue"/>
                  <w:tcBorders>
                    <w:tl2br w:val="nil"/>
                    <w:tr2bl w:val="nil"/>
                  </w:tcBorders>
                  <w:noWrap/>
                  <w:textDirection w:val="tbRlV"/>
                  <w:vAlign w:val="center"/>
                </w:tcPr>
                <w:p w14:paraId="36AA3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815" w:type="pct"/>
                  <w:vMerge w:val="continue"/>
                  <w:tcBorders>
                    <w:tl2br w:val="nil"/>
                    <w:tr2bl w:val="nil"/>
                  </w:tcBorders>
                  <w:noWrap w:val="0"/>
                  <w:vAlign w:val="center"/>
                </w:tcPr>
                <w:p w14:paraId="585C89C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294" w:type="pct"/>
                  <w:tcBorders>
                    <w:tl2br w:val="nil"/>
                    <w:tr2bl w:val="nil"/>
                  </w:tcBorders>
                  <w:noWrap w:val="0"/>
                  <w:vAlign w:val="center"/>
                </w:tcPr>
                <w:p w14:paraId="5A36DA95">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92"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252" w:type="pct"/>
                  <w:tcBorders>
                    <w:tl2br w:val="nil"/>
                    <w:tr2bl w:val="nil"/>
                  </w:tcBorders>
                  <w:noWrap w:val="0"/>
                  <w:vAlign w:val="center"/>
                </w:tcPr>
                <w:p w14:paraId="04BAF1E6">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废弃物分类符合要求</w:t>
                  </w:r>
                </w:p>
              </w:tc>
              <w:tc>
                <w:tcPr>
                  <w:tcW w:w="461" w:type="pct"/>
                  <w:vMerge w:val="continue"/>
                  <w:tcBorders>
                    <w:tl2br w:val="nil"/>
                    <w:tr2bl w:val="nil"/>
                  </w:tcBorders>
                  <w:noWrap w:val="0"/>
                  <w:vAlign w:val="center"/>
                </w:tcPr>
                <w:p w14:paraId="65556B8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353" w:type="pct"/>
                  <w:vMerge w:val="continue"/>
                  <w:tcBorders>
                    <w:tl2br w:val="nil"/>
                    <w:tr2bl w:val="nil"/>
                  </w:tcBorders>
                  <w:noWrap w:val="0"/>
                  <w:vAlign w:val="center"/>
                </w:tcPr>
                <w:p w14:paraId="2EF9F98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c>
                <w:tcPr>
                  <w:tcW w:w="491" w:type="pct"/>
                  <w:vMerge w:val="continue"/>
                  <w:tcBorders>
                    <w:tl2br w:val="nil"/>
                    <w:tr2bl w:val="nil"/>
                  </w:tcBorders>
                  <w:noWrap w:val="0"/>
                  <w:vAlign w:val="center"/>
                </w:tcPr>
                <w:p w14:paraId="67C51D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1418B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5" w:hRule="atLeast"/>
              </w:trPr>
              <w:tc>
                <w:tcPr>
                  <w:tcW w:w="3692" w:type="pct"/>
                  <w:gridSpan w:val="4"/>
                  <w:tcBorders>
                    <w:tl2br w:val="nil"/>
                    <w:tr2bl w:val="nil"/>
                  </w:tcBorders>
                  <w:shd w:val="clear" w:color="auto" w:fill="auto"/>
                  <w:noWrap/>
                  <w:vAlign w:val="center"/>
                </w:tcPr>
                <w:p w14:paraId="68C8DC92">
                  <w:pPr>
                    <w:pStyle w:val="5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2951" w:firstLineChars="1400"/>
                    <w:jc w:val="both"/>
                    <w:textAlignment w:val="auto"/>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color w:val="auto"/>
                      <w:sz w:val="21"/>
                      <w:szCs w:val="21"/>
                      <w:highlight w:val="none"/>
                      <w:lang w:val="en-US" w:eastAsia="zh-CN"/>
                    </w:rPr>
                    <w:t>总得分：</w:t>
                  </w:r>
                </w:p>
              </w:tc>
              <w:tc>
                <w:tcPr>
                  <w:tcW w:w="1307" w:type="pct"/>
                  <w:gridSpan w:val="3"/>
                  <w:tcBorders>
                    <w:tl2br w:val="nil"/>
                    <w:tr2bl w:val="nil"/>
                  </w:tcBorders>
                  <w:shd w:val="clear" w:color="auto" w:fill="A6A6A6"/>
                  <w:noWrap/>
                  <w:vAlign w:val="center"/>
                </w:tcPr>
                <w:p w14:paraId="03592B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宋体" w:hAnsi="宋体" w:eastAsia="宋体" w:cs="宋体"/>
                      <w:i w:val="0"/>
                      <w:iCs w:val="0"/>
                      <w:color w:val="auto"/>
                      <w:sz w:val="21"/>
                      <w:szCs w:val="21"/>
                      <w:highlight w:val="none"/>
                      <w:u w:val="none"/>
                    </w:rPr>
                  </w:pPr>
                </w:p>
              </w:tc>
            </w:tr>
            <w:tr w14:paraId="3C59E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5000" w:type="pct"/>
                  <w:gridSpan w:val="7"/>
                  <w:tcBorders>
                    <w:tl2br w:val="nil"/>
                    <w:tr2bl w:val="nil"/>
                  </w:tcBorders>
                  <w:noWrap w:val="0"/>
                  <w:vAlign w:val="center"/>
                </w:tcPr>
                <w:p w14:paraId="764489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填表说明：</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1、本表由总务科人员填写。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2、如收到投诉，后勤部核实为有效投诉的，在本表部分扣分，每次3分，上不封顶。</w:t>
                  </w:r>
                </w:p>
              </w:tc>
            </w:tr>
          </w:tbl>
          <w:p w14:paraId="20F52C32">
            <w:pPr>
              <w:pStyle w:val="48"/>
              <w:keepNext w:val="0"/>
              <w:keepLines w:val="0"/>
              <w:widowControl/>
              <w:suppressLineNumbers w:val="0"/>
              <w:spacing w:before="0" w:beforeAutospacing="0" w:after="0" w:afterAutospacing="0" w:line="240" w:lineRule="auto"/>
              <w:ind w:left="0" w:right="0"/>
              <w:jc w:val="both"/>
              <w:rPr>
                <w:rFonts w:hint="eastAsia" w:ascii="宋体" w:hAnsi="宋体" w:eastAsia="宋体" w:cs="宋体"/>
                <w:b/>
                <w:color w:val="auto"/>
                <w:sz w:val="21"/>
                <w:szCs w:val="21"/>
                <w:highlight w:val="none"/>
              </w:rPr>
            </w:pPr>
          </w:p>
        </w:tc>
        <w:tc>
          <w:tcPr>
            <w:tcW w:w="398" w:type="pct"/>
            <w:vAlign w:val="center"/>
          </w:tcPr>
          <w:p w14:paraId="78BABF6C">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6BDE3C1C">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r w14:paraId="41DAA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 w:type="pct"/>
            <w:vAlign w:val="center"/>
          </w:tcPr>
          <w:p w14:paraId="4D2AE1C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w:t>
            </w:r>
          </w:p>
        </w:tc>
        <w:tc>
          <w:tcPr>
            <w:tcW w:w="3790" w:type="pct"/>
            <w:vAlign w:val="center"/>
          </w:tcPr>
          <w:p w14:paraId="1EB07481">
            <w:pPr>
              <w:pStyle w:val="64"/>
              <w:keepNext w:val="0"/>
              <w:keepLines w:val="0"/>
              <w:pageBreakBefore w:val="0"/>
              <w:widowControl w:val="0"/>
              <w:numPr>
                <w:ilvl w:val="0"/>
                <w:numId w:val="0"/>
              </w:numPr>
              <w:suppressLineNumbers w:val="0"/>
              <w:tabs>
                <w:tab w:val="left" w:pos="420"/>
              </w:tabs>
              <w:kinsoku/>
              <w:wordWrap/>
              <w:overflowPunct/>
              <w:topLinePunct w:val="0"/>
              <w:bidi w:val="0"/>
              <w:adjustRightInd w:val="0"/>
              <w:snapToGrid w:val="0"/>
              <w:spacing w:before="0" w:beforeAutospacing="0" w:after="0" w:afterAutospacing="0" w:line="240" w:lineRule="auto"/>
              <w:ind w:left="0" w:right="0"/>
              <w:jc w:val="both"/>
              <w:textAlignment w:val="auto"/>
              <w:outlineLvl w:val="1"/>
              <w:rPr>
                <w:rFonts w:hint="eastAsia" w:ascii="宋体" w:hAnsi="宋体" w:eastAsia="宋体" w:cs="宋体"/>
                <w:strike/>
                <w:color w:val="auto"/>
                <w:spacing w:val="4"/>
                <w:kern w:val="2"/>
                <w:sz w:val="21"/>
                <w:szCs w:val="21"/>
                <w:highlight w:val="none"/>
                <w:lang w:val="en-US" w:eastAsia="zh-CN" w:bidi="ar-SA"/>
              </w:rPr>
            </w:pPr>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结算方式与要求</w:t>
            </w:r>
          </w:p>
          <w:p w14:paraId="0F46B788">
            <w:pPr>
              <w:pStyle w:val="64"/>
              <w:keepNext w:val="0"/>
              <w:keepLines w:val="0"/>
              <w:pageBreakBefore w:val="0"/>
              <w:widowControl w:val="0"/>
              <w:numPr>
                <w:ilvl w:val="0"/>
                <w:numId w:val="0"/>
              </w:numPr>
              <w:suppressLineNumbers w:val="0"/>
              <w:tabs>
                <w:tab w:val="left" w:pos="420"/>
              </w:tabs>
              <w:kinsoku/>
              <w:wordWrap/>
              <w:overflowPunct/>
              <w:topLinePunct w:val="0"/>
              <w:bidi w:val="0"/>
              <w:adjustRightInd w:val="0"/>
              <w:snapToGrid w:val="0"/>
              <w:spacing w:before="0" w:beforeAutospacing="0" w:after="0" w:afterAutospacing="0" w:line="240" w:lineRule="auto"/>
              <w:ind w:left="0" w:right="0"/>
              <w:jc w:val="both"/>
              <w:textAlignment w:val="auto"/>
              <w:outlineLvl w:val="1"/>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1、结算方式：采用银行转账。</w:t>
            </w:r>
          </w:p>
          <w:p w14:paraId="21A6EDC8">
            <w:pPr>
              <w:pStyle w:val="64"/>
              <w:keepNext w:val="0"/>
              <w:keepLines w:val="0"/>
              <w:pageBreakBefore w:val="0"/>
              <w:widowControl w:val="0"/>
              <w:numPr>
                <w:ilvl w:val="0"/>
                <w:numId w:val="0"/>
              </w:numPr>
              <w:suppressLineNumbers w:val="0"/>
              <w:tabs>
                <w:tab w:val="left" w:pos="420"/>
              </w:tabs>
              <w:kinsoku/>
              <w:wordWrap/>
              <w:overflowPunct/>
              <w:topLinePunct w:val="0"/>
              <w:bidi w:val="0"/>
              <w:adjustRightInd w:val="0"/>
              <w:snapToGrid w:val="0"/>
              <w:spacing w:before="0" w:beforeAutospacing="0" w:after="0" w:afterAutospacing="0" w:line="240" w:lineRule="auto"/>
              <w:ind w:left="0" w:right="0"/>
              <w:jc w:val="both"/>
              <w:textAlignment w:val="auto"/>
              <w:outlineLvl w:val="1"/>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2、结算要求：</w:t>
            </w:r>
          </w:p>
          <w:p w14:paraId="6BF0744C">
            <w:pPr>
              <w:pStyle w:val="64"/>
              <w:keepNext w:val="0"/>
              <w:keepLines w:val="0"/>
              <w:pageBreakBefore w:val="0"/>
              <w:widowControl w:val="0"/>
              <w:numPr>
                <w:ilvl w:val="0"/>
                <w:numId w:val="0"/>
              </w:numPr>
              <w:suppressLineNumbers w:val="0"/>
              <w:tabs>
                <w:tab w:val="left" w:pos="420"/>
              </w:tabs>
              <w:kinsoku/>
              <w:wordWrap/>
              <w:overflowPunct/>
              <w:topLinePunct w:val="0"/>
              <w:bidi w:val="0"/>
              <w:adjustRightInd w:val="0"/>
              <w:snapToGrid w:val="0"/>
              <w:spacing w:before="0" w:beforeAutospacing="0" w:after="0" w:afterAutospacing="0" w:line="240" w:lineRule="auto"/>
              <w:ind w:left="0" w:right="0"/>
              <w:jc w:val="both"/>
              <w:textAlignment w:val="auto"/>
              <w:outlineLvl w:val="1"/>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（1）采购人每月根据项目验收要求，结合每月度质量考评情况，核准参选人当月服务费用，参选人据此开具正式发票。</w:t>
            </w:r>
          </w:p>
          <w:p w14:paraId="448B1CF2">
            <w:pPr>
              <w:pStyle w:val="4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采购人每月结算合同款项，</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人每月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日前向采购人提交结算资料，采购人收到结算资料确认无误后5个工作日内开始办理支付手续。</w:t>
            </w:r>
          </w:p>
          <w:p w14:paraId="39E0875A">
            <w:pPr>
              <w:pStyle w:val="64"/>
              <w:keepNext w:val="0"/>
              <w:keepLines w:val="0"/>
              <w:pageBreakBefore w:val="0"/>
              <w:widowControl w:val="0"/>
              <w:numPr>
                <w:ilvl w:val="0"/>
                <w:numId w:val="0"/>
              </w:numPr>
              <w:suppressLineNumbers w:val="0"/>
              <w:tabs>
                <w:tab w:val="left" w:pos="420"/>
              </w:tabs>
              <w:kinsoku/>
              <w:wordWrap/>
              <w:overflowPunct/>
              <w:topLinePunct w:val="0"/>
              <w:bidi w:val="0"/>
              <w:adjustRightInd w:val="0"/>
              <w:snapToGrid w:val="0"/>
              <w:spacing w:before="0" w:beforeAutospacing="0" w:after="0" w:afterAutospacing="0" w:line="240" w:lineRule="auto"/>
              <w:ind w:left="0" w:right="0"/>
              <w:jc w:val="both"/>
              <w:textAlignment w:val="auto"/>
              <w:outlineLvl w:val="1"/>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每次结算合同费用，</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人需凭以下资料与采购人结算：</w:t>
            </w:r>
          </w:p>
          <w:p w14:paraId="09065A0D">
            <w:pPr>
              <w:pStyle w:val="4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eastAsia="zh-CN"/>
              </w:rPr>
              <w:t>首次结算，提供原件</w:t>
            </w:r>
            <w:r>
              <w:rPr>
                <w:rFonts w:hint="eastAsia" w:ascii="宋体" w:hAnsi="宋体" w:eastAsia="宋体" w:cs="宋体"/>
                <w:color w:val="auto"/>
                <w:sz w:val="21"/>
                <w:szCs w:val="21"/>
                <w:highlight w:val="none"/>
              </w:rPr>
              <w:t>）；</w:t>
            </w:r>
          </w:p>
          <w:p w14:paraId="39135CCD">
            <w:pPr>
              <w:pStyle w:val="4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2）中选（成交）</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eastAsia="zh-CN"/>
              </w:rPr>
              <w:t>复印件</w:t>
            </w:r>
            <w:r>
              <w:rPr>
                <w:rFonts w:hint="eastAsia" w:ascii="宋体" w:hAnsi="宋体" w:eastAsia="宋体" w:cs="宋体"/>
                <w:color w:val="auto"/>
                <w:sz w:val="21"/>
                <w:szCs w:val="21"/>
                <w:highlight w:val="none"/>
              </w:rPr>
              <w:t>；</w:t>
            </w:r>
          </w:p>
          <w:p w14:paraId="36C11BCF">
            <w:pPr>
              <w:pStyle w:val="4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参选</w:t>
            </w:r>
            <w:r>
              <w:rPr>
                <w:rFonts w:hint="eastAsia" w:ascii="宋体" w:hAnsi="宋体" w:eastAsia="宋体" w:cs="宋体"/>
                <w:color w:val="auto"/>
                <w:sz w:val="21"/>
                <w:szCs w:val="21"/>
                <w:highlight w:val="none"/>
              </w:rPr>
              <w:t>人开具的正式发票</w:t>
            </w:r>
            <w:r>
              <w:rPr>
                <w:rFonts w:hint="eastAsia" w:ascii="宋体" w:hAnsi="宋体" w:eastAsia="宋体" w:cs="宋体"/>
                <w:color w:val="auto"/>
                <w:sz w:val="21"/>
                <w:szCs w:val="21"/>
                <w:highlight w:val="none"/>
                <w:lang w:eastAsia="zh-CN"/>
              </w:rPr>
              <w:t>（开票人及收款信息与合同一致）</w:t>
            </w:r>
            <w:r>
              <w:rPr>
                <w:rFonts w:hint="eastAsia" w:ascii="宋体" w:hAnsi="宋体" w:eastAsia="宋体" w:cs="宋体"/>
                <w:color w:val="auto"/>
                <w:sz w:val="21"/>
                <w:szCs w:val="21"/>
                <w:highlight w:val="none"/>
              </w:rPr>
              <w:t>；</w:t>
            </w:r>
          </w:p>
          <w:p w14:paraId="3B29C33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4）</w:t>
            </w:r>
            <w:r>
              <w:rPr>
                <w:rFonts w:hint="eastAsia" w:ascii="宋体" w:hAnsi="宋体" w:eastAsia="宋体" w:cs="宋体"/>
                <w:color w:val="auto"/>
                <w:kern w:val="0"/>
                <w:sz w:val="21"/>
                <w:szCs w:val="21"/>
                <w:highlight w:val="none"/>
                <w:lang w:val="en-US" w:eastAsia="zh-CN" w:bidi="ar-SA"/>
              </w:rPr>
              <w:t>作业记录汇总表（作业期限、垃圾数量（单位：桶）、经采购人需求管理部门签名）</w:t>
            </w:r>
            <w:r>
              <w:rPr>
                <w:rFonts w:hint="eastAsia" w:ascii="宋体" w:hAnsi="宋体" w:eastAsia="宋体" w:cs="宋体"/>
                <w:color w:val="auto"/>
                <w:spacing w:val="4"/>
                <w:kern w:val="2"/>
                <w:sz w:val="21"/>
                <w:szCs w:val="21"/>
                <w:highlight w:val="none"/>
                <w:lang w:val="en-US" w:eastAsia="zh-CN" w:bidi="ar-SA"/>
              </w:rPr>
              <w:t>;</w:t>
            </w:r>
          </w:p>
          <w:p w14:paraId="7328BB13">
            <w:pPr>
              <w:keepNext w:val="0"/>
              <w:keepLines w:val="0"/>
              <w:pageBreakBefore w:val="0"/>
              <w:widowControl/>
              <w:numPr>
                <w:ilvl w:val="0"/>
                <w:numId w:val="0"/>
              </w:numPr>
              <w:suppressLineNumbers w:val="0"/>
              <w:kinsoku/>
              <w:wordWrap/>
              <w:overflowPunct/>
              <w:topLinePunct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5）经采购人需求管理部门签名确认的月度质量满意度评分表；</w:t>
            </w:r>
          </w:p>
          <w:p w14:paraId="527D8E54">
            <w:pPr>
              <w:keepNext w:val="0"/>
              <w:keepLines w:val="0"/>
              <w:pageBreakBefore w:val="0"/>
              <w:widowControl/>
              <w:numPr>
                <w:ilvl w:val="0"/>
                <w:numId w:val="0"/>
              </w:numPr>
              <w:suppressLineNumbers w:val="0"/>
              <w:kinsoku/>
              <w:wordWrap/>
              <w:overflowPunct/>
              <w:topLinePunct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6）</w:t>
            </w:r>
            <w:r>
              <w:rPr>
                <w:rFonts w:hint="eastAsia" w:ascii="宋体" w:hAnsi="宋体" w:eastAsia="宋体" w:cs="宋体"/>
                <w:color w:val="auto"/>
                <w:sz w:val="21"/>
                <w:szCs w:val="21"/>
                <w:highlight w:val="none"/>
              </w:rPr>
              <w:t>履约保证金凭证（首次结算提供）</w:t>
            </w:r>
            <w:r>
              <w:rPr>
                <w:rFonts w:hint="eastAsia" w:ascii="宋体" w:hAnsi="宋体" w:eastAsia="宋体" w:cs="宋体"/>
                <w:color w:val="auto"/>
                <w:sz w:val="21"/>
                <w:szCs w:val="21"/>
                <w:highlight w:val="none"/>
                <w:lang w:eastAsia="zh-CN"/>
              </w:rPr>
              <w:t>。</w:t>
            </w:r>
          </w:p>
          <w:p w14:paraId="4C45B1B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3、因采购人使用的是财政性资金，采购人在前款规定的付款时间向支付部门提出办理支付申请手续的时间（不含支付部门审核的时间），在规定时间内提出支付申请手续后即视为采购人已经按期支付。</w:t>
            </w:r>
          </w:p>
          <w:p w14:paraId="43599A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4、履约保证金：</w:t>
            </w:r>
          </w:p>
          <w:p w14:paraId="68D1053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收取：参选人与采购人签订合同后15个工作日内，按合同总金额的5%以银行转账或支票（汇票、本票）或保函（保险）等非现金形式向采购人需求管理部门提交履约保证金【保函（保险）方式提交的，须提供保函（保险）原件交予采购人需求管理部门备案】，同时须保持履约保证金有效期覆盖合同服务期限。若不提交履约保证金或履约保证金在服务期内失效后15个工作日内不向采购人更新提交，采购人有权终止合同，由此产生的一切责任及损失均由参选人承担。</w:t>
            </w:r>
          </w:p>
          <w:p w14:paraId="182044E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2）退还：若合同期内参选人没有违约行为，采购人无息退还履约保证金：</w:t>
            </w:r>
          </w:p>
          <w:p w14:paraId="4DF1909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①以保函（保险）形式提交的履约保证金：在合同期满后或合同终止后30个工作日内自动失效；</w:t>
            </w:r>
          </w:p>
          <w:p w14:paraId="3246F6A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②以银行转账或支票（汇票）提交的履约保证金在合同期满后或合同终止后30个工作日内，参选人书面提出退还申请，同时提交采购人开具的履约保证金收据原件，采购人需求管理部门收到退还申请资料后5个工作日内提交采购人支付部门无息退还给参选人；</w:t>
            </w:r>
          </w:p>
          <w:p w14:paraId="28E7880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③如逾期退还，采购人按每日逾期款总额的1‰向参选人偿付违约金。下列任何一种情况发生时，采购人有权不予退还履约保证金：（一）参选人未完全履行项目响应文件承诺或合同约定的；（二）参选人的原因导致采购人损失的。</w:t>
            </w:r>
          </w:p>
          <w:p w14:paraId="7F4A9BA1">
            <w:pPr>
              <w:pStyle w:val="4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both"/>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rPr>
              <w:t>5、参选人如确定以中选（成交）通知书或合同融资的，须书面函告采购人并提供相关资料给采购人备案。合同签订后，参选人原则上不得擅自变更合同中的银行账户信息，确需变更的，参选人须向采购人书面申请，经采购人审核同意后方可变更。变更内容双方应签订合同补充协议。</w:t>
            </w:r>
          </w:p>
        </w:tc>
        <w:tc>
          <w:tcPr>
            <w:tcW w:w="398" w:type="pct"/>
            <w:vAlign w:val="center"/>
          </w:tcPr>
          <w:p w14:paraId="4271781E">
            <w:pPr>
              <w:pStyle w:val="48"/>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p>
        </w:tc>
        <w:tc>
          <w:tcPr>
            <w:tcW w:w="567" w:type="pct"/>
            <w:vAlign w:val="center"/>
          </w:tcPr>
          <w:p w14:paraId="27389ADB">
            <w:pPr>
              <w:pStyle w:val="48"/>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p>
        </w:tc>
      </w:tr>
    </w:tbl>
    <w:p w14:paraId="4CC9A89B">
      <w:pPr>
        <w:spacing w:line="240" w:lineRule="auto"/>
        <w:ind w:left="708" w:hanging="707" w:hangingChars="337"/>
        <w:rPr>
          <w:rFonts w:ascii="宋体" w:hAnsi="宋体" w:cs="宋体"/>
          <w:color w:val="auto"/>
          <w:highlight w:val="none"/>
          <w:lang w:val="en-GB"/>
        </w:rPr>
      </w:pPr>
      <w:r>
        <w:rPr>
          <w:rFonts w:hint="eastAsia" w:ascii="宋体" w:hAnsi="宋体" w:cs="宋体"/>
          <w:color w:val="auto"/>
          <w:highlight w:val="none"/>
          <w:lang w:val="en-GB"/>
        </w:rPr>
        <w:t>说明：1.本表所列条款必须一一予以响应，“参选人响应情况”一栏应填写具体的响应内容，有差异的要具体说明。</w:t>
      </w:r>
    </w:p>
    <w:p w14:paraId="3D35A397">
      <w:pPr>
        <w:spacing w:line="240" w:lineRule="auto"/>
        <w:ind w:left="708" w:hanging="707" w:hangingChars="337"/>
        <w:rPr>
          <w:rFonts w:ascii="宋体" w:hAnsi="宋体" w:cs="宋体"/>
          <w:color w:val="auto"/>
          <w:highlight w:val="none"/>
          <w:lang w:val="en-GB"/>
        </w:rPr>
      </w:pPr>
      <w:r>
        <w:rPr>
          <w:rFonts w:hint="eastAsia" w:ascii="宋体" w:hAnsi="宋体" w:cs="宋体"/>
          <w:color w:val="auto"/>
          <w:highlight w:val="none"/>
          <w:lang w:val="en-GB"/>
        </w:rPr>
        <w:t>2.请参选人认真填写本表内容，如填写错误将可能导致参选（响应）无效。</w:t>
      </w:r>
    </w:p>
    <w:p w14:paraId="7865D46A">
      <w:pPr>
        <w:spacing w:line="240" w:lineRule="auto"/>
        <w:ind w:left="708" w:hanging="707" w:hangingChars="337"/>
        <w:rPr>
          <w:rFonts w:hint="eastAsia" w:ascii="宋体" w:hAnsi="宋体" w:cs="宋体"/>
          <w:color w:val="auto"/>
          <w:highlight w:val="none"/>
          <w:lang w:val="en-GB"/>
        </w:rPr>
      </w:pPr>
    </w:p>
    <w:p w14:paraId="73A0A820">
      <w:pPr>
        <w:spacing w:line="240" w:lineRule="auto"/>
        <w:ind w:left="708" w:hanging="707" w:hangingChars="337"/>
        <w:rPr>
          <w:rFonts w:hint="eastAsia" w:ascii="宋体" w:hAnsi="宋体" w:cs="宋体"/>
          <w:color w:val="auto"/>
          <w:highlight w:val="none"/>
          <w:lang w:val="en-GB"/>
        </w:rPr>
      </w:pPr>
    </w:p>
    <w:p w14:paraId="46E7FD16">
      <w:pPr>
        <w:spacing w:line="240" w:lineRule="auto"/>
        <w:ind w:left="708" w:hanging="707" w:hangingChars="337"/>
        <w:rPr>
          <w:rFonts w:ascii="宋体" w:hAnsi="宋体" w:cs="宋体"/>
          <w:color w:val="auto"/>
          <w:highlight w:val="none"/>
          <w:lang w:val="en-GB"/>
        </w:rPr>
      </w:pPr>
      <w:r>
        <w:rPr>
          <w:rFonts w:hint="eastAsia" w:ascii="宋体" w:hAnsi="宋体" w:cs="宋体"/>
          <w:color w:val="auto"/>
          <w:highlight w:val="none"/>
          <w:lang w:val="en-GB"/>
        </w:rPr>
        <w:t xml:space="preserve">参选人名称（加盖公章）：                                   </w:t>
      </w:r>
    </w:p>
    <w:p w14:paraId="41A6CD6E">
      <w:pPr>
        <w:spacing w:line="240" w:lineRule="auto"/>
        <w:ind w:left="708" w:hanging="707" w:hangingChars="337"/>
        <w:rPr>
          <w:rFonts w:ascii="宋体" w:hAnsi="宋体" w:cs="宋体"/>
          <w:color w:val="auto"/>
          <w:highlight w:val="none"/>
          <w:lang w:val="en-GB"/>
        </w:rPr>
      </w:pPr>
      <w:r>
        <w:rPr>
          <w:rFonts w:hint="eastAsia" w:ascii="宋体" w:hAnsi="宋体" w:cs="宋体"/>
          <w:color w:val="auto"/>
          <w:highlight w:val="none"/>
          <w:lang w:val="en-GB"/>
        </w:rPr>
        <w:t xml:space="preserve">参选人法定代表人或授权代表（签字或盖章）：                 </w:t>
      </w:r>
    </w:p>
    <w:p w14:paraId="6E566A51">
      <w:pPr>
        <w:spacing w:line="240" w:lineRule="auto"/>
        <w:ind w:left="708" w:hanging="707" w:hangingChars="337"/>
        <w:rPr>
          <w:rFonts w:ascii="宋体" w:hAnsi="宋体" w:cs="宋体"/>
          <w:color w:val="auto"/>
          <w:highlight w:val="none"/>
          <w:lang w:val="en-GB"/>
        </w:rPr>
      </w:pPr>
      <w:r>
        <w:rPr>
          <w:rFonts w:hint="eastAsia" w:ascii="宋体" w:hAnsi="宋体" w:cs="宋体"/>
          <w:color w:val="auto"/>
          <w:highlight w:val="none"/>
          <w:lang w:val="en-GB"/>
        </w:rPr>
        <w:t>日期：        年    月    日</w:t>
      </w:r>
    </w:p>
    <w:p w14:paraId="07929EBA">
      <w:pPr>
        <w:spacing w:line="240" w:lineRule="auto"/>
        <w:rPr>
          <w:rFonts w:hint="eastAsia" w:ascii="宋体" w:hAnsi="宋体" w:cs="宋体"/>
          <w:color w:val="auto"/>
          <w:highlight w:val="none"/>
        </w:rPr>
      </w:pPr>
      <w:r>
        <w:rPr>
          <w:rFonts w:hint="eastAsia" w:ascii="宋体" w:hAnsi="宋体" w:cs="宋体"/>
          <w:color w:val="auto"/>
          <w:highlight w:val="none"/>
        </w:rPr>
        <w:br w:type="page"/>
      </w:r>
    </w:p>
    <w:p w14:paraId="2C5525A2">
      <w:pPr>
        <w:tabs>
          <w:tab w:val="left" w:pos="851"/>
        </w:tabs>
        <w:spacing w:line="360" w:lineRule="auto"/>
        <w:rPr>
          <w:rFonts w:ascii="宋体" w:hAnsi="宋体" w:cs="宋体"/>
          <w:color w:val="auto"/>
          <w:highlight w:val="none"/>
        </w:rPr>
      </w:pPr>
      <w:r>
        <w:rPr>
          <w:rFonts w:hint="eastAsia" w:ascii="宋体" w:hAnsi="宋体" w:cs="宋体"/>
          <w:color w:val="auto"/>
          <w:highlight w:val="none"/>
        </w:rPr>
        <w:t>1.4  技术评分自查表</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729"/>
        <w:gridCol w:w="2985"/>
        <w:gridCol w:w="2960"/>
      </w:tblGrid>
      <w:tr w14:paraId="5B01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11" w:type="pct"/>
            <w:vAlign w:val="center"/>
          </w:tcPr>
          <w:p w14:paraId="0331258F">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序号</w:t>
            </w:r>
          </w:p>
        </w:tc>
        <w:tc>
          <w:tcPr>
            <w:tcW w:w="988" w:type="pct"/>
            <w:vAlign w:val="center"/>
          </w:tcPr>
          <w:p w14:paraId="2614899A">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评审项目</w:t>
            </w:r>
          </w:p>
        </w:tc>
        <w:tc>
          <w:tcPr>
            <w:tcW w:w="1706" w:type="pct"/>
            <w:vAlign w:val="center"/>
          </w:tcPr>
          <w:p w14:paraId="79335B91">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自评内容及得分</w:t>
            </w:r>
          </w:p>
        </w:tc>
        <w:tc>
          <w:tcPr>
            <w:tcW w:w="1692" w:type="pct"/>
            <w:vAlign w:val="center"/>
          </w:tcPr>
          <w:p w14:paraId="4AC64C87">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证明文件（如有）</w:t>
            </w:r>
          </w:p>
        </w:tc>
      </w:tr>
      <w:tr w14:paraId="73B6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3B0C277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1</w:t>
            </w:r>
          </w:p>
        </w:tc>
        <w:tc>
          <w:tcPr>
            <w:tcW w:w="988" w:type="pct"/>
            <w:vAlign w:val="center"/>
          </w:tcPr>
          <w:p w14:paraId="791E7F1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06" w:type="pct"/>
            <w:vAlign w:val="center"/>
          </w:tcPr>
          <w:p w14:paraId="4315948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92" w:type="pct"/>
            <w:vAlign w:val="center"/>
          </w:tcPr>
          <w:p w14:paraId="648F0CC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08DE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3B95009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2</w:t>
            </w:r>
          </w:p>
        </w:tc>
        <w:tc>
          <w:tcPr>
            <w:tcW w:w="988" w:type="pct"/>
            <w:vAlign w:val="center"/>
          </w:tcPr>
          <w:p w14:paraId="488EC49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06" w:type="pct"/>
            <w:vAlign w:val="center"/>
          </w:tcPr>
          <w:p w14:paraId="729D14E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92" w:type="pct"/>
            <w:vAlign w:val="center"/>
          </w:tcPr>
          <w:p w14:paraId="2030A86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5AB2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2F968A1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3</w:t>
            </w:r>
          </w:p>
        </w:tc>
        <w:tc>
          <w:tcPr>
            <w:tcW w:w="988" w:type="pct"/>
            <w:vAlign w:val="center"/>
          </w:tcPr>
          <w:p w14:paraId="10C4111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06" w:type="pct"/>
            <w:vAlign w:val="center"/>
          </w:tcPr>
          <w:p w14:paraId="359C0FE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92" w:type="pct"/>
            <w:vAlign w:val="center"/>
          </w:tcPr>
          <w:p w14:paraId="665C2C7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311A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1884546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w:t>
            </w:r>
          </w:p>
        </w:tc>
        <w:tc>
          <w:tcPr>
            <w:tcW w:w="988" w:type="pct"/>
            <w:vAlign w:val="center"/>
          </w:tcPr>
          <w:p w14:paraId="4AA24C1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06" w:type="pct"/>
            <w:vAlign w:val="center"/>
          </w:tcPr>
          <w:p w14:paraId="3222B41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92" w:type="pct"/>
            <w:vAlign w:val="center"/>
          </w:tcPr>
          <w:p w14:paraId="0AA50EA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bl>
    <w:p w14:paraId="39762DE8">
      <w:pPr>
        <w:pStyle w:val="9"/>
        <w:spacing w:after="0" w:line="360" w:lineRule="auto"/>
        <w:ind w:left="424" w:hanging="424" w:hangingChars="202"/>
        <w:rPr>
          <w:rFonts w:ascii="宋体" w:hAnsi="宋体" w:cs="宋体"/>
          <w:color w:val="auto"/>
          <w:sz w:val="21"/>
          <w:szCs w:val="21"/>
          <w:highlight w:val="none"/>
          <w:lang w:val="en-GB"/>
        </w:rPr>
      </w:pPr>
      <w:r>
        <w:rPr>
          <w:rFonts w:hint="eastAsia" w:ascii="宋体" w:hAnsi="宋体" w:cs="宋体"/>
          <w:color w:val="auto"/>
          <w:sz w:val="21"/>
          <w:szCs w:val="21"/>
          <w:highlight w:val="none"/>
          <w:lang w:val="en-GB"/>
        </w:rPr>
        <w:t>注：参选人</w:t>
      </w:r>
      <w:r>
        <w:rPr>
          <w:rFonts w:hint="eastAsia" w:ascii="宋体" w:hAnsi="宋体" w:cs="宋体"/>
          <w:color w:val="auto"/>
          <w:sz w:val="21"/>
          <w:szCs w:val="21"/>
          <w:highlight w:val="none"/>
        </w:rPr>
        <w:t>应根据《技术评分表》的各项内容填写此表</w:t>
      </w:r>
      <w:r>
        <w:rPr>
          <w:rFonts w:hint="eastAsia" w:ascii="宋体" w:hAnsi="宋体" w:cs="宋体"/>
          <w:color w:val="auto"/>
          <w:sz w:val="21"/>
          <w:szCs w:val="21"/>
          <w:highlight w:val="none"/>
          <w:lang w:val="en-GB"/>
        </w:rPr>
        <w:t>。</w:t>
      </w:r>
    </w:p>
    <w:p w14:paraId="5A2A9D50">
      <w:pPr>
        <w:pStyle w:val="9"/>
        <w:spacing w:after="0" w:line="360" w:lineRule="auto"/>
        <w:rPr>
          <w:rFonts w:ascii="宋体" w:hAnsi="宋体" w:cs="宋体"/>
          <w:color w:val="auto"/>
          <w:sz w:val="21"/>
          <w:szCs w:val="21"/>
          <w:highlight w:val="none"/>
        </w:rPr>
      </w:pPr>
    </w:p>
    <w:p w14:paraId="6476CBDF">
      <w:pPr>
        <w:tabs>
          <w:tab w:val="left" w:pos="851"/>
        </w:tabs>
        <w:spacing w:line="360" w:lineRule="auto"/>
        <w:rPr>
          <w:rFonts w:ascii="宋体" w:hAnsi="宋体" w:cs="宋体"/>
          <w:color w:val="auto"/>
          <w:highlight w:val="none"/>
        </w:rPr>
      </w:pPr>
      <w:r>
        <w:rPr>
          <w:rFonts w:hint="eastAsia" w:ascii="宋体" w:hAnsi="宋体" w:cs="宋体"/>
          <w:color w:val="auto"/>
          <w:highlight w:val="none"/>
        </w:rPr>
        <w:t>1.5  商务评分自查表</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702"/>
        <w:gridCol w:w="3019"/>
        <w:gridCol w:w="2953"/>
      </w:tblGrid>
      <w:tr w14:paraId="0675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11" w:type="pct"/>
            <w:vAlign w:val="center"/>
          </w:tcPr>
          <w:p w14:paraId="15E0444E">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序号</w:t>
            </w:r>
          </w:p>
        </w:tc>
        <w:tc>
          <w:tcPr>
            <w:tcW w:w="973" w:type="pct"/>
            <w:vAlign w:val="center"/>
          </w:tcPr>
          <w:p w14:paraId="659AAD19">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评审项目</w:t>
            </w:r>
          </w:p>
        </w:tc>
        <w:tc>
          <w:tcPr>
            <w:tcW w:w="1726" w:type="pct"/>
            <w:vAlign w:val="center"/>
          </w:tcPr>
          <w:p w14:paraId="3D105EBC">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自评内容及得分</w:t>
            </w:r>
          </w:p>
        </w:tc>
        <w:tc>
          <w:tcPr>
            <w:tcW w:w="1688" w:type="pct"/>
            <w:vAlign w:val="center"/>
          </w:tcPr>
          <w:p w14:paraId="4E284963">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证明文件（如有）</w:t>
            </w:r>
          </w:p>
        </w:tc>
      </w:tr>
      <w:tr w14:paraId="16D3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15CF8BF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1</w:t>
            </w:r>
          </w:p>
        </w:tc>
        <w:tc>
          <w:tcPr>
            <w:tcW w:w="973" w:type="pct"/>
            <w:vAlign w:val="center"/>
          </w:tcPr>
          <w:p w14:paraId="506A797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26" w:type="pct"/>
            <w:vAlign w:val="center"/>
          </w:tcPr>
          <w:p w14:paraId="6AE07F0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88" w:type="pct"/>
            <w:vAlign w:val="center"/>
          </w:tcPr>
          <w:p w14:paraId="60FA591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13D1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3B876E5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2</w:t>
            </w:r>
          </w:p>
        </w:tc>
        <w:tc>
          <w:tcPr>
            <w:tcW w:w="973" w:type="pct"/>
            <w:vAlign w:val="center"/>
          </w:tcPr>
          <w:p w14:paraId="148B716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26" w:type="pct"/>
            <w:vAlign w:val="center"/>
          </w:tcPr>
          <w:p w14:paraId="54E731A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88" w:type="pct"/>
            <w:vAlign w:val="center"/>
          </w:tcPr>
          <w:p w14:paraId="653D696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459D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12A405C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3</w:t>
            </w:r>
          </w:p>
        </w:tc>
        <w:tc>
          <w:tcPr>
            <w:tcW w:w="973" w:type="pct"/>
            <w:vAlign w:val="center"/>
          </w:tcPr>
          <w:p w14:paraId="03A25DD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26" w:type="pct"/>
            <w:vAlign w:val="center"/>
          </w:tcPr>
          <w:p w14:paraId="484E323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88" w:type="pct"/>
            <w:vAlign w:val="center"/>
          </w:tcPr>
          <w:p w14:paraId="773BE3D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6539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1" w:type="pct"/>
            <w:vAlign w:val="center"/>
          </w:tcPr>
          <w:p w14:paraId="3C1F603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w:t>
            </w:r>
          </w:p>
        </w:tc>
        <w:tc>
          <w:tcPr>
            <w:tcW w:w="973" w:type="pct"/>
            <w:vAlign w:val="center"/>
          </w:tcPr>
          <w:p w14:paraId="6A34738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726" w:type="pct"/>
            <w:vAlign w:val="center"/>
          </w:tcPr>
          <w:p w14:paraId="312CC4C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688" w:type="pct"/>
            <w:vAlign w:val="center"/>
          </w:tcPr>
          <w:p w14:paraId="7C208C5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bl>
    <w:p w14:paraId="77B27201">
      <w:pPr>
        <w:pStyle w:val="9"/>
        <w:spacing w:after="0" w:line="360" w:lineRule="auto"/>
        <w:ind w:left="424" w:hanging="424" w:hangingChars="202"/>
        <w:rPr>
          <w:rFonts w:ascii="宋体" w:hAnsi="宋体" w:cs="宋体"/>
          <w:color w:val="auto"/>
          <w:sz w:val="21"/>
          <w:szCs w:val="21"/>
          <w:highlight w:val="none"/>
        </w:rPr>
      </w:pPr>
      <w:r>
        <w:rPr>
          <w:rFonts w:hint="eastAsia" w:ascii="宋体" w:hAnsi="宋体" w:cs="宋体"/>
          <w:color w:val="auto"/>
          <w:sz w:val="21"/>
          <w:szCs w:val="21"/>
          <w:highlight w:val="none"/>
          <w:lang w:val="en-GB"/>
        </w:rPr>
        <w:t>注：参选人应根据《商务评分表》的各项内容填写此表。</w:t>
      </w:r>
    </w:p>
    <w:p w14:paraId="56E9BE61">
      <w:pPr>
        <w:pStyle w:val="4"/>
        <w:keepLines w:val="0"/>
        <w:widowControl w:val="0"/>
        <w:numPr>
          <w:ilvl w:val="0"/>
          <w:numId w:val="0"/>
        </w:numPr>
        <w:tabs>
          <w:tab w:val="left" w:pos="851"/>
        </w:tabs>
        <w:adjustRightInd/>
        <w:snapToGrid/>
        <w:spacing w:line="360" w:lineRule="auto"/>
        <w:ind w:left="851" w:leftChars="0" w:hanging="851" w:firstLineChars="0"/>
        <w:jc w:val="both"/>
        <w:rPr>
          <w:rFonts w:ascii="宋体" w:hAnsi="宋体" w:eastAsia="宋体" w:cs="宋体"/>
          <w:b/>
          <w:bCs w:val="0"/>
          <w:color w:val="auto"/>
          <w:sz w:val="21"/>
          <w:szCs w:val="21"/>
          <w:highlight w:val="none"/>
          <w:lang w:val="en-US" w:eastAsia="zh-CN" w:bidi="ar-SA"/>
        </w:rPr>
      </w:pPr>
    </w:p>
    <w:p w14:paraId="4BFCF919">
      <w:pPr>
        <w:pStyle w:val="4"/>
        <w:keepLines w:val="0"/>
        <w:widowControl w:val="0"/>
        <w:numPr>
          <w:ilvl w:val="0"/>
          <w:numId w:val="0"/>
        </w:numPr>
        <w:tabs>
          <w:tab w:val="left" w:pos="851"/>
        </w:tabs>
        <w:adjustRightInd/>
        <w:snapToGrid/>
        <w:spacing w:line="360" w:lineRule="auto"/>
        <w:ind w:left="851" w:leftChars="0" w:hanging="851" w:firstLineChars="0"/>
        <w:jc w:val="both"/>
        <w:rPr>
          <w:rFonts w:hAnsi="宋体" w:cs="宋体"/>
          <w:b/>
          <w:color w:val="auto"/>
          <w:sz w:val="21"/>
          <w:szCs w:val="21"/>
          <w:highlight w:val="none"/>
        </w:rPr>
      </w:pPr>
      <w:r>
        <w:rPr>
          <w:rFonts w:hint="eastAsia" w:hAnsi="宋体" w:cs="宋体"/>
          <w:b/>
          <w:bCs/>
          <w:color w:val="auto"/>
          <w:sz w:val="21"/>
          <w:szCs w:val="21"/>
          <w:highlight w:val="none"/>
        </w:rPr>
        <w:br w:type="page"/>
      </w:r>
      <w:bookmarkStart w:id="1290" w:name="_Toc484599507"/>
      <w:bookmarkStart w:id="1291" w:name="_Toc508619365"/>
      <w:bookmarkStart w:id="1292" w:name="_Toc1597"/>
      <w:bookmarkStart w:id="1293" w:name="_Toc28874"/>
      <w:bookmarkStart w:id="1294" w:name="_Toc19657"/>
      <w:bookmarkStart w:id="1295" w:name="_Toc535418263"/>
      <w:bookmarkStart w:id="1296" w:name="_Toc513630885"/>
      <w:bookmarkStart w:id="1297" w:name="_Toc528659813"/>
      <w:bookmarkStart w:id="1298" w:name="_Toc510104791"/>
      <w:bookmarkStart w:id="1299" w:name="_Toc1704"/>
      <w:bookmarkStart w:id="1300" w:name="_Toc508036025"/>
      <w:bookmarkStart w:id="1301" w:name="_Toc511293857"/>
      <w:bookmarkStart w:id="1302" w:name="_Toc513112101"/>
      <w:bookmarkStart w:id="1303" w:name="_Toc21067"/>
      <w:bookmarkStart w:id="1304" w:name="_Toc9713"/>
      <w:bookmarkStart w:id="1305" w:name="_Toc522036005"/>
      <w:bookmarkStart w:id="1306" w:name="_Toc30388"/>
      <w:bookmarkStart w:id="1307" w:name="_Toc500260807"/>
      <w:bookmarkStart w:id="1308" w:name="_Toc18481"/>
      <w:r>
        <w:rPr>
          <w:rFonts w:hint="eastAsia" w:hAnsi="宋体" w:cs="宋体"/>
          <w:b/>
          <w:bCs/>
          <w:color w:val="auto"/>
          <w:sz w:val="21"/>
          <w:szCs w:val="21"/>
          <w:highlight w:val="none"/>
          <w:lang w:val="en-US" w:eastAsia="zh-CN"/>
        </w:rPr>
        <w:t xml:space="preserve">2. </w:t>
      </w:r>
      <w:r>
        <w:rPr>
          <w:rFonts w:hint="eastAsia" w:hAnsi="宋体" w:cs="宋体"/>
          <w:b/>
          <w:color w:val="auto"/>
          <w:sz w:val="21"/>
          <w:szCs w:val="21"/>
          <w:highlight w:val="none"/>
        </w:rPr>
        <w:t>报价表</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4A51820">
      <w:pPr>
        <w:tabs>
          <w:tab w:val="left" w:pos="851"/>
        </w:tabs>
        <w:spacing w:line="360" w:lineRule="auto"/>
        <w:rPr>
          <w:rFonts w:ascii="宋体" w:hAnsi="宋体" w:cs="宋体"/>
          <w:color w:val="auto"/>
          <w:highlight w:val="none"/>
        </w:rPr>
      </w:pPr>
      <w:r>
        <w:rPr>
          <w:rFonts w:hint="eastAsia" w:ascii="宋体" w:hAnsi="宋体" w:cs="宋体"/>
          <w:color w:val="auto"/>
          <w:highlight w:val="none"/>
        </w:rPr>
        <w:t>2.1报价一览表</w:t>
      </w:r>
    </w:p>
    <w:p w14:paraId="377255EC">
      <w:pPr>
        <w:spacing w:line="360" w:lineRule="auto"/>
        <w:jc w:val="both"/>
        <w:rPr>
          <w:rFonts w:hint="eastAsia" w:ascii="宋体" w:hAnsi="宋体" w:eastAsia="宋体" w:cs="宋体"/>
          <w:color w:val="auto"/>
          <w:highlight w:val="none"/>
          <w:lang w:eastAsia="zh-CN"/>
        </w:rPr>
      </w:pPr>
      <w:r>
        <w:rPr>
          <w:rFonts w:hint="eastAsia" w:ascii="宋体" w:hAnsi="宋体" w:cs="宋体"/>
          <w:color w:val="auto"/>
          <w:highlight w:val="none"/>
        </w:rPr>
        <w:t>项目名称：</w:t>
      </w:r>
      <w:r>
        <w:rPr>
          <w:rFonts w:hint="eastAsia" w:ascii="宋体" w:hAnsi="宋体" w:cs="宋体"/>
          <w:color w:val="auto"/>
          <w:highlight w:val="none"/>
          <w:lang w:eastAsia="zh-CN"/>
        </w:rPr>
        <w:t>广州医科大学附属妇女儿童医疗中心增城院区生活垃圾清运服务项目（二次）</w:t>
      </w:r>
    </w:p>
    <w:p w14:paraId="52E3A6C1">
      <w:pPr>
        <w:spacing w:line="360" w:lineRule="auto"/>
        <w:jc w:val="both"/>
        <w:rPr>
          <w:rFonts w:hint="eastAsia" w:ascii="宋体" w:hAnsi="宋体" w:eastAsia="宋体" w:cs="宋体"/>
          <w:color w:val="auto"/>
          <w:highlight w:val="none"/>
          <w:lang w:eastAsia="zh-CN"/>
        </w:rPr>
      </w:pPr>
      <w:r>
        <w:rPr>
          <w:rFonts w:hint="eastAsia" w:ascii="宋体" w:hAnsi="宋体" w:cs="宋体"/>
          <w:color w:val="auto"/>
          <w:highlight w:val="none"/>
        </w:rPr>
        <w:t>项目编号：</w:t>
      </w:r>
      <w:r>
        <w:rPr>
          <w:rFonts w:hint="eastAsia" w:ascii="宋体" w:hAnsi="宋体" w:cs="宋体"/>
          <w:color w:val="auto"/>
          <w:highlight w:val="none"/>
          <w:lang w:eastAsia="zh-CN"/>
        </w:rPr>
        <w:t>GZZJ-FG-2026114</w:t>
      </w:r>
    </w:p>
    <w:p w14:paraId="17FD56D3">
      <w:pPr>
        <w:spacing w:line="360" w:lineRule="auto"/>
        <w:jc w:val="both"/>
        <w:rPr>
          <w:rFonts w:ascii="宋体" w:hAnsi="宋体" w:cs="宋体"/>
          <w:color w:val="auto"/>
          <w:highlight w:val="none"/>
        </w:rPr>
      </w:pPr>
      <w:r>
        <w:rPr>
          <w:rFonts w:hint="eastAsia" w:ascii="宋体" w:hAnsi="宋体" w:cs="宋体"/>
          <w:color w:val="auto"/>
          <w:highlight w:val="none"/>
        </w:rPr>
        <w:t>参选人名称：</w:t>
      </w:r>
    </w:p>
    <w:tbl>
      <w:tblPr>
        <w:tblStyle w:val="24"/>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7029"/>
      </w:tblGrid>
      <w:tr w14:paraId="0CCA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1996" w:type="dxa"/>
            <w:vAlign w:val="center"/>
          </w:tcPr>
          <w:p w14:paraId="24766AE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项目内容</w:t>
            </w:r>
          </w:p>
        </w:tc>
        <w:tc>
          <w:tcPr>
            <w:tcW w:w="7029" w:type="dxa"/>
            <w:vAlign w:val="center"/>
          </w:tcPr>
          <w:p w14:paraId="35CBBC7B">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default" w:ascii="宋体" w:hAnsi="宋体" w:cs="宋体"/>
                <w:color w:val="auto"/>
                <w:highlight w:val="none"/>
              </w:rPr>
              <w:t>增城院区生活垃圾清运服务</w:t>
            </w:r>
          </w:p>
        </w:tc>
      </w:tr>
      <w:tr w14:paraId="5D3E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996" w:type="dxa"/>
            <w:vAlign w:val="center"/>
          </w:tcPr>
          <w:p w14:paraId="10420E21">
            <w:pPr>
              <w:keepNext w:val="0"/>
              <w:keepLines w:val="0"/>
              <w:widowControl/>
              <w:suppressLineNumbers w:val="0"/>
              <w:spacing w:before="0" w:beforeAutospacing="0" w:after="0" w:afterAutospacing="0" w:line="360" w:lineRule="auto"/>
              <w:ind w:left="0" w:right="0"/>
              <w:jc w:val="center"/>
              <w:rPr>
                <w:rFonts w:hint="default"/>
                <w:color w:val="auto"/>
                <w:highlight w:val="none"/>
              </w:rPr>
            </w:pPr>
            <w:r>
              <w:rPr>
                <w:rFonts w:hint="eastAsia" w:ascii="宋体" w:hAnsi="宋体" w:cs="宋体"/>
                <w:color w:val="auto"/>
                <w:highlight w:val="none"/>
              </w:rPr>
              <w:t>参选报价</w:t>
            </w:r>
          </w:p>
          <w:p w14:paraId="4BEB4F5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highlight w:val="none"/>
                <w:lang w:eastAsia="zh-CN"/>
              </w:rPr>
            </w:pPr>
            <w:r>
              <w:rPr>
                <w:rFonts w:hint="eastAsia"/>
                <w:color w:val="auto"/>
                <w:highlight w:val="none"/>
                <w:lang w:eastAsia="zh-CN"/>
              </w:rPr>
              <w:t>（</w:t>
            </w:r>
            <w:r>
              <w:rPr>
                <w:rFonts w:hint="eastAsia"/>
                <w:color w:val="auto"/>
                <w:highlight w:val="none"/>
                <w:lang w:val="en-US" w:eastAsia="zh-CN"/>
              </w:rPr>
              <w:t>元</w:t>
            </w:r>
            <w:r>
              <w:rPr>
                <w:rFonts w:hint="eastAsia"/>
                <w:color w:val="auto"/>
                <w:highlight w:val="none"/>
                <w:lang w:eastAsia="zh-CN"/>
              </w:rPr>
              <w:t>）</w:t>
            </w:r>
          </w:p>
        </w:tc>
        <w:tc>
          <w:tcPr>
            <w:tcW w:w="7029" w:type="dxa"/>
            <w:vAlign w:val="center"/>
          </w:tcPr>
          <w:p w14:paraId="02D0BB02">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小写：</w:t>
            </w:r>
            <w:r>
              <w:rPr>
                <w:rFonts w:hint="eastAsia" w:ascii="宋体" w:hAnsi="宋体" w:cs="宋体"/>
                <w:color w:val="auto"/>
                <w:highlight w:val="none"/>
                <w:u w:val="single"/>
              </w:rPr>
              <w:t xml:space="preserve"> </w:t>
            </w:r>
            <w:r>
              <w:rPr>
                <w:rFonts w:hint="eastAsia" w:ascii="宋体" w:hAnsi="宋体" w:cs="宋体"/>
                <w:color w:val="auto"/>
                <w:highlight w:val="none"/>
                <w:u w:val="single"/>
                <w:lang w:eastAsia="zh-CN"/>
              </w:rPr>
              <w:t>￥</w:t>
            </w:r>
            <w:r>
              <w:rPr>
                <w:rFonts w:hint="eastAsia" w:ascii="宋体" w:hAnsi="宋体" w:cs="宋体"/>
                <w:color w:val="auto"/>
                <w:highlight w:val="none"/>
                <w:u w:val="single"/>
              </w:rPr>
              <w:t xml:space="preserve">     </w:t>
            </w:r>
          </w:p>
          <w:p w14:paraId="2147A68D">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大写：</w:t>
            </w:r>
          </w:p>
        </w:tc>
      </w:tr>
      <w:tr w14:paraId="0C55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996" w:type="dxa"/>
            <w:vAlign w:val="center"/>
          </w:tcPr>
          <w:p w14:paraId="790A205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备注</w:t>
            </w:r>
          </w:p>
        </w:tc>
        <w:tc>
          <w:tcPr>
            <w:tcW w:w="7029" w:type="dxa"/>
            <w:vAlign w:val="center"/>
          </w:tcPr>
          <w:p w14:paraId="1DC6C305">
            <w:pPr>
              <w:keepNext w:val="0"/>
              <w:keepLines w:val="0"/>
              <w:widowControl/>
              <w:suppressLineNumbers w:val="0"/>
              <w:spacing w:before="0" w:beforeAutospacing="0" w:after="0" w:afterAutospacing="0" w:line="360" w:lineRule="auto"/>
              <w:ind w:left="0" w:right="0"/>
              <w:jc w:val="both"/>
              <w:rPr>
                <w:rFonts w:hint="default" w:ascii="宋体" w:hAnsi="宋体" w:cs="宋体"/>
                <w:color w:val="auto"/>
                <w:highlight w:val="none"/>
              </w:rPr>
            </w:pPr>
            <w:r>
              <w:rPr>
                <w:rFonts w:hint="eastAsia" w:eastAsia="宋体" w:cs="Times New Roman"/>
                <w:color w:val="auto"/>
                <w:highlight w:val="none"/>
              </w:rPr>
              <w:t>本项目采用总价形式进行报价，参选人所报总价不能超过本项目的最高限价。</w:t>
            </w:r>
          </w:p>
        </w:tc>
      </w:tr>
    </w:tbl>
    <w:p w14:paraId="63D9A7F2">
      <w:pPr>
        <w:spacing w:line="360" w:lineRule="auto"/>
        <w:ind w:left="4253" w:leftChars="2025"/>
        <w:rPr>
          <w:rFonts w:ascii="宋体" w:hAnsi="宋体" w:cs="宋体"/>
          <w:color w:val="auto"/>
          <w:highlight w:val="none"/>
        </w:rPr>
      </w:pPr>
    </w:p>
    <w:p w14:paraId="06D238A6">
      <w:pPr>
        <w:spacing w:line="360" w:lineRule="auto"/>
        <w:ind w:left="4253" w:leftChars="2025"/>
        <w:rPr>
          <w:rFonts w:ascii="宋体" w:hAnsi="宋体" w:cs="宋体"/>
          <w:color w:val="auto"/>
          <w:highlight w:val="none"/>
        </w:rPr>
      </w:pPr>
      <w:r>
        <w:rPr>
          <w:rFonts w:hint="eastAsia" w:ascii="宋体" w:hAnsi="宋体" w:cs="宋体"/>
          <w:color w:val="auto"/>
          <w:highlight w:val="none"/>
        </w:rPr>
        <w:t>参选人（单位公章）：</w:t>
      </w:r>
    </w:p>
    <w:p w14:paraId="32C82238">
      <w:pPr>
        <w:spacing w:line="360" w:lineRule="auto"/>
        <w:ind w:right="480" w:firstLine="4200" w:firstLineChars="2000"/>
        <w:rPr>
          <w:rFonts w:ascii="宋体" w:hAnsi="宋体" w:cs="宋体"/>
          <w:color w:val="auto"/>
          <w:highlight w:val="none"/>
        </w:rPr>
      </w:pPr>
      <w:r>
        <w:rPr>
          <w:rFonts w:hint="eastAsia" w:ascii="宋体" w:hAnsi="宋体" w:cs="宋体"/>
          <w:color w:val="auto"/>
          <w:highlight w:val="none"/>
        </w:rPr>
        <w:t>日期：    年   月   日</w:t>
      </w:r>
    </w:p>
    <w:p w14:paraId="768A1B10">
      <w:pPr>
        <w:spacing w:line="360" w:lineRule="auto"/>
        <w:ind w:right="240"/>
        <w:rPr>
          <w:color w:val="auto"/>
          <w:highlight w:val="none"/>
        </w:rPr>
      </w:pPr>
      <w:r>
        <w:rPr>
          <w:rFonts w:hint="eastAsia" w:ascii="宋体" w:hAnsi="宋体" w:cs="宋体"/>
          <w:color w:val="auto"/>
          <w:spacing w:val="20"/>
          <w:highlight w:val="none"/>
        </w:rPr>
        <w:t>说明：</w:t>
      </w:r>
    </w:p>
    <w:p w14:paraId="5F113B2A">
      <w:pPr>
        <w:spacing w:line="360" w:lineRule="auto"/>
        <w:ind w:right="240"/>
        <w:rPr>
          <w:rFonts w:hint="default"/>
          <w:color w:val="auto"/>
          <w:highlight w:val="none"/>
          <w:lang w:val="en-US" w:eastAsia="zh-CN"/>
        </w:rPr>
      </w:pPr>
      <w:r>
        <w:rPr>
          <w:rFonts w:hint="eastAsia"/>
          <w:color w:val="auto"/>
          <w:highlight w:val="none"/>
          <w:lang w:val="en-US" w:eastAsia="zh-CN"/>
        </w:rPr>
        <w:t>（1）采用总价形式进行报价的，参选人所报总价不能超过本项目的预算金额（最高限价）总价。</w:t>
      </w:r>
    </w:p>
    <w:p w14:paraId="4338A522">
      <w:pPr>
        <w:pStyle w:val="4"/>
        <w:keepLines w:val="0"/>
        <w:widowControl w:val="0"/>
        <w:numPr>
          <w:ilvl w:val="-1"/>
          <w:numId w:val="0"/>
        </w:numPr>
        <w:tabs>
          <w:tab w:val="left" w:pos="851"/>
        </w:tabs>
        <w:adjustRightInd/>
        <w:snapToGrid/>
        <w:spacing w:line="360" w:lineRule="auto"/>
        <w:ind w:left="0" w:firstLine="0"/>
        <w:jc w:val="both"/>
        <w:rPr>
          <w:rFonts w:hAnsi="宋体" w:cs="宋体"/>
          <w:b/>
          <w:color w:val="auto"/>
          <w:sz w:val="21"/>
          <w:szCs w:val="21"/>
          <w:highlight w:val="none"/>
        </w:rPr>
      </w:pPr>
      <w:r>
        <w:rPr>
          <w:rFonts w:hint="eastAsia" w:hAnsi="宋体" w:cs="宋体"/>
          <w:color w:val="auto"/>
          <w:highlight w:val="none"/>
        </w:rPr>
        <w:br w:type="page"/>
      </w:r>
      <w:bookmarkStart w:id="1309" w:name="_Toc4869"/>
      <w:bookmarkStart w:id="1310" w:name="_Toc508036026"/>
      <w:bookmarkStart w:id="1311" w:name="_Toc977"/>
      <w:bookmarkStart w:id="1312" w:name="_Toc7"/>
      <w:bookmarkStart w:id="1313" w:name="_Toc535418264"/>
      <w:bookmarkStart w:id="1314" w:name="_Toc513630886"/>
      <w:bookmarkStart w:id="1315" w:name="_Toc2339"/>
      <w:bookmarkStart w:id="1316" w:name="_Toc6948"/>
      <w:bookmarkStart w:id="1317" w:name="_Toc17643"/>
      <w:bookmarkStart w:id="1318" w:name="_Toc484599508"/>
      <w:bookmarkStart w:id="1319" w:name="_Toc18433"/>
      <w:bookmarkStart w:id="1320" w:name="_Toc522036006"/>
      <w:bookmarkStart w:id="1321" w:name="_Toc513112102"/>
      <w:bookmarkStart w:id="1322" w:name="_Toc508619366"/>
      <w:bookmarkStart w:id="1323" w:name="_Toc500260808"/>
      <w:bookmarkStart w:id="1324" w:name="_Toc510104792"/>
      <w:bookmarkStart w:id="1325" w:name="_Toc511293858"/>
      <w:bookmarkStart w:id="1326" w:name="_Toc13480"/>
      <w:bookmarkStart w:id="1327" w:name="_Toc528659814"/>
      <w:r>
        <w:rPr>
          <w:rFonts w:hint="eastAsia" w:hAnsi="宋体" w:cs="宋体"/>
          <w:b/>
          <w:bCs/>
          <w:color w:val="auto"/>
          <w:sz w:val="21"/>
          <w:szCs w:val="21"/>
          <w:highlight w:val="none"/>
          <w:lang w:val="en-US" w:eastAsia="zh-CN"/>
        </w:rPr>
        <w:t xml:space="preserve">3. </w:t>
      </w:r>
      <w:r>
        <w:rPr>
          <w:rFonts w:hint="eastAsia" w:hAnsi="宋体" w:cs="宋体"/>
          <w:b/>
          <w:bCs/>
          <w:color w:val="auto"/>
          <w:sz w:val="21"/>
          <w:szCs w:val="21"/>
          <w:highlight w:val="none"/>
        </w:rPr>
        <w:t>参选函</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F136FB8">
      <w:pPr>
        <w:pStyle w:val="12"/>
        <w:spacing w:line="360" w:lineRule="auto"/>
        <w:jc w:val="center"/>
        <w:rPr>
          <w:rFonts w:hAnsi="宋体" w:cs="宋体"/>
          <w:b/>
          <w:color w:val="auto"/>
          <w:sz w:val="24"/>
          <w:szCs w:val="24"/>
          <w:highlight w:val="none"/>
        </w:rPr>
      </w:pPr>
      <w:r>
        <w:rPr>
          <w:rFonts w:hint="eastAsia" w:hAnsi="宋体" w:cs="宋体"/>
          <w:b/>
          <w:color w:val="auto"/>
          <w:sz w:val="24"/>
          <w:szCs w:val="24"/>
          <w:highlight w:val="none"/>
        </w:rPr>
        <w:t>参选函</w:t>
      </w:r>
    </w:p>
    <w:p w14:paraId="1FF3AFDF">
      <w:pPr>
        <w:keepNext w:val="0"/>
        <w:keepLines w:val="0"/>
        <w:pageBreakBefore w:val="0"/>
        <w:widowControl/>
        <w:kinsoku/>
        <w:wordWrap/>
        <w:overflowPunct/>
        <w:topLinePunct w:val="0"/>
        <w:autoSpaceDE/>
        <w:autoSpaceDN/>
        <w:bidi w:val="0"/>
        <w:snapToGrid/>
        <w:spacing w:line="264" w:lineRule="auto"/>
        <w:textAlignment w:val="auto"/>
        <w:rPr>
          <w:rFonts w:ascii="宋体" w:hAnsi="宋体" w:cs="宋体"/>
          <w:b/>
          <w:color w:val="auto"/>
          <w:highlight w:val="none"/>
        </w:rPr>
      </w:pPr>
      <w:r>
        <w:rPr>
          <w:rFonts w:hint="eastAsia" w:ascii="宋体" w:hAnsi="宋体" w:cs="宋体"/>
          <w:color w:val="auto"/>
          <w:highlight w:val="none"/>
        </w:rPr>
        <w:t>致：</w:t>
      </w:r>
      <w:r>
        <w:rPr>
          <w:rFonts w:hint="eastAsia" w:ascii="宋体" w:hAnsi="宋体" w:cs="宋体"/>
          <w:b/>
          <w:bCs/>
          <w:color w:val="auto"/>
          <w:highlight w:val="none"/>
          <w:lang w:val="en-US" w:eastAsia="zh-CN"/>
        </w:rPr>
        <w:t>广州中经招标有限</w:t>
      </w:r>
      <w:r>
        <w:rPr>
          <w:rFonts w:hint="eastAsia" w:ascii="宋体" w:hAnsi="宋体" w:cs="宋体"/>
          <w:b/>
          <w:bCs/>
          <w:color w:val="auto"/>
          <w:highlight w:val="none"/>
        </w:rPr>
        <w:t>公司</w:t>
      </w:r>
    </w:p>
    <w:p w14:paraId="3D4FFBB1">
      <w:pPr>
        <w:keepNext w:val="0"/>
        <w:keepLines w:val="0"/>
        <w:pageBreakBefore w:val="0"/>
        <w:widowControl/>
        <w:kinsoku/>
        <w:wordWrap/>
        <w:overflowPunct/>
        <w:topLinePunct w:val="0"/>
        <w:autoSpaceDE/>
        <w:autoSpaceDN/>
        <w:bidi w:val="0"/>
        <w:snapToGrid/>
        <w:spacing w:line="264" w:lineRule="auto"/>
        <w:ind w:firstLine="420"/>
        <w:textAlignment w:val="auto"/>
        <w:rPr>
          <w:rFonts w:ascii="宋体" w:hAnsi="宋体" w:cs="宋体"/>
          <w:color w:val="auto"/>
          <w:highlight w:val="none"/>
        </w:rPr>
      </w:pPr>
      <w:r>
        <w:rPr>
          <w:rFonts w:hint="eastAsia" w:ascii="宋体" w:hAnsi="宋体" w:cs="宋体"/>
          <w:color w:val="auto"/>
          <w:highlight w:val="none"/>
        </w:rPr>
        <w:t>我方确认收到贵方提供的</w:t>
      </w:r>
      <w:r>
        <w:rPr>
          <w:rFonts w:hint="eastAsia" w:ascii="宋体" w:hAnsi="宋体" w:cs="宋体"/>
          <w:i w:val="0"/>
          <w:iCs/>
          <w:color w:val="auto"/>
          <w:highlight w:val="none"/>
          <w:lang w:eastAsia="zh-CN"/>
        </w:rPr>
        <w:t>广州医科大学附属妇女儿童医疗中心增城院区生活垃圾清运服务项目（二次）（</w:t>
      </w:r>
      <w:r>
        <w:rPr>
          <w:rFonts w:hint="eastAsia" w:ascii="宋体" w:hAnsi="宋体" w:cs="宋体"/>
          <w:i w:val="0"/>
          <w:iCs/>
          <w:color w:val="auto"/>
          <w:highlight w:val="none"/>
          <w:u w:val="single"/>
          <w:lang w:eastAsia="zh-CN"/>
        </w:rPr>
        <w:t>GZZJ-FG-2026114</w:t>
      </w:r>
      <w:r>
        <w:rPr>
          <w:rFonts w:hint="eastAsia" w:ascii="宋体" w:hAnsi="宋体" w:cs="宋体"/>
          <w:i w:val="0"/>
          <w:iCs/>
          <w:color w:val="auto"/>
          <w:highlight w:val="none"/>
          <w:lang w:eastAsia="zh-CN"/>
        </w:rPr>
        <w:t>）</w:t>
      </w:r>
      <w:r>
        <w:rPr>
          <w:rFonts w:hint="eastAsia" w:ascii="宋体" w:hAnsi="宋体" w:cs="宋体"/>
          <w:color w:val="auto"/>
          <w:highlight w:val="none"/>
        </w:rPr>
        <w:t>的遴选文件的全部内容，现提交我方的参选文件。</w:t>
      </w:r>
    </w:p>
    <w:p w14:paraId="238A4A48">
      <w:pPr>
        <w:keepNext w:val="0"/>
        <w:keepLines w:val="0"/>
        <w:pageBreakBefore w:val="0"/>
        <w:widowControl/>
        <w:kinsoku/>
        <w:wordWrap/>
        <w:overflowPunct/>
        <w:topLinePunct w:val="0"/>
        <w:autoSpaceDE/>
        <w:autoSpaceDN/>
        <w:bidi w:val="0"/>
        <w:snapToGrid/>
        <w:spacing w:line="264" w:lineRule="auto"/>
        <w:ind w:firstLine="420"/>
        <w:textAlignment w:val="auto"/>
        <w:rPr>
          <w:rFonts w:ascii="宋体" w:hAnsi="宋体" w:cs="宋体"/>
          <w:color w:val="auto"/>
          <w:highlight w:val="none"/>
        </w:rPr>
      </w:pPr>
      <w:r>
        <w:rPr>
          <w:rFonts w:hint="eastAsia" w:ascii="宋体" w:hAnsi="宋体" w:cs="宋体"/>
          <w:color w:val="auto"/>
          <w:highlight w:val="none"/>
        </w:rPr>
        <w:t>我方</w:t>
      </w:r>
      <w:r>
        <w:rPr>
          <w:rFonts w:hint="eastAsia" w:ascii="宋体" w:hAnsi="宋体" w:cs="宋体"/>
          <w:i/>
          <w:color w:val="auto"/>
          <w:highlight w:val="none"/>
          <w:u w:val="single"/>
        </w:rPr>
        <w:t>（参选人全称）</w:t>
      </w:r>
      <w:r>
        <w:rPr>
          <w:rFonts w:hint="eastAsia" w:ascii="宋体" w:hAnsi="宋体" w:cs="宋体"/>
          <w:color w:val="auto"/>
          <w:highlight w:val="none"/>
        </w:rPr>
        <w:t>授权</w:t>
      </w:r>
      <w:r>
        <w:rPr>
          <w:rFonts w:hint="eastAsia" w:ascii="宋体" w:hAnsi="宋体" w:cs="宋体"/>
          <w:i/>
          <w:color w:val="auto"/>
          <w:highlight w:val="none"/>
          <w:u w:val="single"/>
        </w:rPr>
        <w:t>（授权代表姓名，职务）</w:t>
      </w:r>
      <w:r>
        <w:rPr>
          <w:rFonts w:hint="eastAsia" w:ascii="宋体" w:hAnsi="宋体" w:cs="宋体"/>
          <w:color w:val="auto"/>
          <w:highlight w:val="none"/>
        </w:rPr>
        <w:t>为授权代表，参加贵方组织的采购项目的有关活动，并进行参选。</w:t>
      </w:r>
    </w:p>
    <w:p w14:paraId="0CA48528">
      <w:pPr>
        <w:keepNext w:val="0"/>
        <w:keepLines w:val="0"/>
        <w:pageBreakBefore w:val="0"/>
        <w:widowControl/>
        <w:kinsoku/>
        <w:wordWrap/>
        <w:overflowPunct/>
        <w:topLinePunct w:val="0"/>
        <w:autoSpaceDE/>
        <w:autoSpaceDN/>
        <w:bidi w:val="0"/>
        <w:snapToGrid/>
        <w:spacing w:line="264" w:lineRule="auto"/>
        <w:textAlignment w:val="auto"/>
        <w:rPr>
          <w:rFonts w:ascii="宋体" w:hAnsi="宋体" w:cs="宋体"/>
          <w:color w:val="auto"/>
          <w:highlight w:val="none"/>
        </w:rPr>
      </w:pPr>
      <w:r>
        <w:rPr>
          <w:rFonts w:hint="eastAsia" w:ascii="宋体" w:hAnsi="宋体" w:cs="宋体"/>
          <w:color w:val="auto"/>
          <w:highlight w:val="none"/>
        </w:rPr>
        <w:t>签字代表在此声明并同意：</w:t>
      </w:r>
    </w:p>
    <w:p w14:paraId="3D409426">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1）我方愿意遵守遴选文件中的各项规定，提供符合“采购需求”所要求的全部内容，参选报价详见《报价一览表》。</w:t>
      </w:r>
    </w:p>
    <w:p w14:paraId="7531CE47">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2）我方同意本参选从递交参选文件截止之日起90天有效。如果我方的参选被接受，则直至合同终止时止，本参选始终有效。</w:t>
      </w:r>
    </w:p>
    <w:p w14:paraId="21D32223">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3）我方明白并同意，在规定的开启日之后，参选有效期之内撤回参选或中选后不按规定与采购人签订合同，则贵方将不予退还参选保证金。</w:t>
      </w:r>
    </w:p>
    <w:p w14:paraId="45E799C5">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4）我方在参与参选前已详细研究了遴选文件的所有内容，包括澄清、修改文件（如果有）和所有已提供的参考资料以及有关附件，我方完全明白并认为此遴选文件没有倾向性，也不存在排斥潜在参选人的内容，我方同意遴选文件的相关条款，放弃对遴选文件提出误解和质疑的一切权力。</w:t>
      </w:r>
    </w:p>
    <w:p w14:paraId="08594724">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5）我方作为在法律、财务和运作上独立于采购人、采购代理机构的参选人，在此保证所提交的所有文件和全部说明是真实的和正确的。</w:t>
      </w:r>
    </w:p>
    <w:p w14:paraId="1DF22313">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6）我方同意按照贵方可能提出的要求而提供与参选有关的任何其它数据、信息或资料。</w:t>
      </w:r>
    </w:p>
    <w:p w14:paraId="30DE3170">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7）我方理解，最低报价不能成为中选的唯一理由。</w:t>
      </w:r>
    </w:p>
    <w:p w14:paraId="13A9FA33">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8）我方如果中选，将保证履行遴选文件及其澄清、修改文件（如果有）中的全部责任和义务和参选文件中承诺的全部责任和义务，切实履行《合同》中的全部条款并按照遴选文件的要求向贵公司足额缴纳遴选代理服务费。</w:t>
      </w:r>
    </w:p>
    <w:p w14:paraId="45BD8CD8">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9）我方保证，采购人在中华人民共和国境内使用我方参选货物、资料、技术、服务或其任何一部分时，享有不受限制的无偿使用权，如有第三方向采购人提出侵犯其专利权、商标权或其它知识产权的主张，该责任由我方承担。我方的参选报价已包含所有应向所有权人支付的专利权、商标权或其它知识产权的一切相关费用。</w:t>
      </w:r>
    </w:p>
    <w:p w14:paraId="1D1983A1">
      <w:pPr>
        <w:keepNext w:val="0"/>
        <w:keepLines w:val="0"/>
        <w:pageBreakBefore w:val="0"/>
        <w:widowControl/>
        <w:kinsoku/>
        <w:wordWrap/>
        <w:overflowPunct/>
        <w:topLinePunct w:val="0"/>
        <w:autoSpaceDE/>
        <w:autoSpaceDN/>
        <w:bidi w:val="0"/>
        <w:snapToGrid/>
        <w:spacing w:line="264" w:lineRule="auto"/>
        <w:ind w:firstLine="420" w:firstLineChars="200"/>
        <w:textAlignment w:val="auto"/>
        <w:rPr>
          <w:rFonts w:ascii="宋体" w:hAnsi="宋体" w:cs="宋体"/>
          <w:color w:val="auto"/>
          <w:highlight w:val="none"/>
          <w:u w:val="single"/>
        </w:rPr>
      </w:pPr>
      <w:r>
        <w:rPr>
          <w:rFonts w:hint="eastAsia" w:ascii="宋体" w:hAnsi="宋体" w:cs="宋体"/>
          <w:color w:val="auto"/>
          <w:highlight w:val="none"/>
        </w:rPr>
        <w:t>10）所有有关本次参选的函电请寄下列地址：</w:t>
      </w:r>
    </w:p>
    <w:p w14:paraId="3DF13777">
      <w:pPr>
        <w:keepNext w:val="0"/>
        <w:keepLines w:val="0"/>
        <w:pageBreakBefore w:val="0"/>
        <w:widowControl/>
        <w:tabs>
          <w:tab w:val="left" w:pos="406"/>
        </w:tabs>
        <w:kinsoku/>
        <w:wordWrap/>
        <w:overflowPunct/>
        <w:topLinePunct w:val="0"/>
        <w:autoSpaceDE/>
        <w:autoSpaceDN/>
        <w:bidi w:val="0"/>
        <w:adjustRightInd w:val="0"/>
        <w:snapToGrid/>
        <w:spacing w:line="264" w:lineRule="auto"/>
        <w:ind w:left="-126" w:leftChars="-60" w:firstLine="105" w:firstLineChars="50"/>
        <w:textAlignment w:val="auto"/>
        <w:rPr>
          <w:rFonts w:ascii="宋体" w:hAnsi="宋体" w:cs="宋体"/>
          <w:color w:val="auto"/>
          <w:highlight w:val="none"/>
        </w:rPr>
      </w:pPr>
    </w:p>
    <w:p w14:paraId="44389459">
      <w:pPr>
        <w:keepNext w:val="0"/>
        <w:keepLines w:val="0"/>
        <w:pageBreakBefore w:val="0"/>
        <w:widowControl/>
        <w:tabs>
          <w:tab w:val="left" w:pos="406"/>
        </w:tabs>
        <w:kinsoku/>
        <w:wordWrap/>
        <w:overflowPunct/>
        <w:topLinePunct w:val="0"/>
        <w:autoSpaceDE/>
        <w:autoSpaceDN/>
        <w:bidi w:val="0"/>
        <w:adjustRightInd w:val="0"/>
        <w:snapToGrid/>
        <w:spacing w:line="264" w:lineRule="auto"/>
        <w:ind w:left="-126" w:leftChars="-60" w:firstLine="105" w:firstLineChars="50"/>
        <w:textAlignment w:val="auto"/>
        <w:rPr>
          <w:rFonts w:ascii="宋体" w:hAnsi="宋体" w:cs="宋体"/>
          <w:color w:val="auto"/>
          <w:highlight w:val="none"/>
        </w:rPr>
      </w:pPr>
      <w:r>
        <w:rPr>
          <w:rFonts w:hint="eastAsia" w:ascii="宋体" w:hAnsi="宋体" w:cs="宋体"/>
          <w:color w:val="auto"/>
          <w:highlight w:val="none"/>
        </w:rPr>
        <w:t>参选人（单位公章）：</w:t>
      </w:r>
    </w:p>
    <w:p w14:paraId="66361313">
      <w:pPr>
        <w:keepNext w:val="0"/>
        <w:keepLines w:val="0"/>
        <w:pageBreakBefore w:val="0"/>
        <w:widowControl/>
        <w:tabs>
          <w:tab w:val="left" w:pos="406"/>
        </w:tabs>
        <w:kinsoku/>
        <w:wordWrap/>
        <w:overflowPunct/>
        <w:topLinePunct w:val="0"/>
        <w:autoSpaceDE/>
        <w:autoSpaceDN/>
        <w:bidi w:val="0"/>
        <w:adjustRightInd w:val="0"/>
        <w:snapToGrid/>
        <w:spacing w:line="264" w:lineRule="auto"/>
        <w:ind w:left="-126" w:leftChars="-60" w:firstLine="105" w:firstLineChars="50"/>
        <w:textAlignment w:val="auto"/>
        <w:rPr>
          <w:rFonts w:ascii="宋体" w:hAnsi="宋体" w:cs="宋体"/>
          <w:color w:val="auto"/>
          <w:highlight w:val="none"/>
        </w:rPr>
      </w:pPr>
      <w:r>
        <w:rPr>
          <w:rFonts w:hint="eastAsia" w:ascii="宋体" w:hAnsi="宋体" w:cs="宋体"/>
          <w:color w:val="auto"/>
          <w:highlight w:val="none"/>
        </w:rPr>
        <w:t>法定代表人或其授权代表（签字或盖章）：</w:t>
      </w:r>
    </w:p>
    <w:p w14:paraId="41D4DA46">
      <w:pPr>
        <w:keepNext w:val="0"/>
        <w:keepLines w:val="0"/>
        <w:pageBreakBefore w:val="0"/>
        <w:widowControl/>
        <w:tabs>
          <w:tab w:val="left" w:pos="406"/>
        </w:tabs>
        <w:kinsoku/>
        <w:wordWrap/>
        <w:overflowPunct/>
        <w:topLinePunct w:val="0"/>
        <w:autoSpaceDE/>
        <w:autoSpaceDN/>
        <w:bidi w:val="0"/>
        <w:adjustRightInd w:val="0"/>
        <w:snapToGrid/>
        <w:spacing w:line="264" w:lineRule="auto"/>
        <w:ind w:left="-126" w:leftChars="-60" w:firstLine="105" w:firstLineChars="50"/>
        <w:textAlignment w:val="auto"/>
        <w:rPr>
          <w:rFonts w:ascii="宋体" w:hAnsi="宋体" w:cs="宋体"/>
          <w:color w:val="auto"/>
          <w:highlight w:val="none"/>
        </w:rPr>
      </w:pPr>
      <w:r>
        <w:rPr>
          <w:rFonts w:hint="eastAsia" w:ascii="宋体" w:hAnsi="宋体" w:cs="宋体"/>
          <w:color w:val="auto"/>
          <w:highlight w:val="none"/>
        </w:rPr>
        <w:t>地址：</w:t>
      </w:r>
    </w:p>
    <w:p w14:paraId="392A0E35">
      <w:pPr>
        <w:keepNext w:val="0"/>
        <w:keepLines w:val="0"/>
        <w:pageBreakBefore w:val="0"/>
        <w:widowControl/>
        <w:kinsoku/>
        <w:wordWrap/>
        <w:overflowPunct/>
        <w:topLinePunct w:val="0"/>
        <w:autoSpaceDE/>
        <w:autoSpaceDN/>
        <w:bidi w:val="0"/>
        <w:adjustRightInd w:val="0"/>
        <w:snapToGrid/>
        <w:spacing w:line="264" w:lineRule="auto"/>
        <w:textAlignment w:val="auto"/>
        <w:rPr>
          <w:rFonts w:ascii="宋体" w:hAnsi="宋体" w:cs="宋体"/>
          <w:color w:val="auto"/>
          <w:highlight w:val="none"/>
        </w:rPr>
      </w:pPr>
      <w:r>
        <w:rPr>
          <w:rFonts w:hint="eastAsia" w:ascii="宋体" w:hAnsi="宋体" w:cs="宋体"/>
          <w:color w:val="auto"/>
          <w:highlight w:val="none"/>
        </w:rPr>
        <w:t>联系电话（手机/固话）：</w:t>
      </w:r>
    </w:p>
    <w:p w14:paraId="21336B8A">
      <w:pPr>
        <w:keepNext w:val="0"/>
        <w:keepLines w:val="0"/>
        <w:pageBreakBefore w:val="0"/>
        <w:widowControl/>
        <w:kinsoku/>
        <w:wordWrap/>
        <w:overflowPunct/>
        <w:topLinePunct w:val="0"/>
        <w:autoSpaceDE/>
        <w:autoSpaceDN/>
        <w:bidi w:val="0"/>
        <w:adjustRightInd w:val="0"/>
        <w:snapToGrid/>
        <w:spacing w:line="264" w:lineRule="auto"/>
        <w:textAlignment w:val="auto"/>
        <w:rPr>
          <w:rFonts w:ascii="宋体" w:hAnsi="宋体" w:cs="宋体"/>
          <w:color w:val="auto"/>
          <w:highlight w:val="none"/>
        </w:rPr>
      </w:pPr>
      <w:r>
        <w:rPr>
          <w:rFonts w:hint="eastAsia" w:ascii="宋体" w:hAnsi="宋体" w:cs="宋体"/>
          <w:color w:val="auto"/>
          <w:highlight w:val="none"/>
        </w:rPr>
        <w:t>电子邮箱：</w:t>
      </w:r>
    </w:p>
    <w:p w14:paraId="364503DF">
      <w:pPr>
        <w:keepNext w:val="0"/>
        <w:keepLines w:val="0"/>
        <w:pageBreakBefore w:val="0"/>
        <w:widowControl/>
        <w:kinsoku/>
        <w:wordWrap/>
        <w:overflowPunct/>
        <w:topLinePunct w:val="0"/>
        <w:autoSpaceDE/>
        <w:autoSpaceDN/>
        <w:bidi w:val="0"/>
        <w:adjustRightInd w:val="0"/>
        <w:snapToGrid/>
        <w:spacing w:line="264" w:lineRule="auto"/>
        <w:textAlignment w:val="auto"/>
        <w:rPr>
          <w:rFonts w:ascii="宋体" w:hAnsi="宋体" w:cs="宋体"/>
          <w:color w:val="auto"/>
          <w:highlight w:val="none"/>
        </w:rPr>
      </w:pPr>
      <w:r>
        <w:rPr>
          <w:rFonts w:hint="eastAsia" w:ascii="宋体" w:hAnsi="宋体" w:cs="宋体"/>
          <w:color w:val="auto"/>
          <w:highlight w:val="none"/>
        </w:rPr>
        <w:t>日期：</w:t>
      </w:r>
    </w:p>
    <w:p w14:paraId="0FA5E2D7">
      <w:pPr>
        <w:keepNext w:val="0"/>
        <w:keepLines w:val="0"/>
        <w:pageBreakBefore w:val="0"/>
        <w:widowControl/>
        <w:kinsoku/>
        <w:wordWrap/>
        <w:overflowPunct/>
        <w:topLinePunct w:val="0"/>
        <w:autoSpaceDE/>
        <w:autoSpaceDN/>
        <w:bidi w:val="0"/>
        <w:snapToGrid/>
        <w:spacing w:line="264" w:lineRule="auto"/>
        <w:ind w:right="84" w:rightChars="40"/>
        <w:textAlignment w:val="auto"/>
        <w:rPr>
          <w:rFonts w:ascii="宋体" w:hAnsi="宋体" w:cs="宋体"/>
          <w:b/>
          <w:color w:val="auto"/>
          <w:highlight w:val="none"/>
        </w:rPr>
      </w:pPr>
      <w:r>
        <w:rPr>
          <w:rFonts w:hint="eastAsia" w:ascii="宋体" w:hAnsi="宋体" w:cs="宋体"/>
          <w:b/>
          <w:color w:val="auto"/>
          <w:highlight w:val="none"/>
        </w:rPr>
        <w:t>备注：本参选函内容不得擅自删改。</w:t>
      </w:r>
    </w:p>
    <w:p w14:paraId="5375CDD7">
      <w:pPr>
        <w:pStyle w:val="4"/>
        <w:keepLines w:val="0"/>
        <w:widowControl w:val="0"/>
        <w:numPr>
          <w:ilvl w:val="0"/>
          <w:numId w:val="0"/>
        </w:numPr>
        <w:tabs>
          <w:tab w:val="left" w:pos="851"/>
        </w:tabs>
        <w:adjustRightInd/>
        <w:snapToGrid/>
        <w:spacing w:line="360" w:lineRule="auto"/>
        <w:ind w:left="360" w:leftChars="0" w:hanging="360" w:firstLineChars="0"/>
        <w:jc w:val="both"/>
        <w:rPr>
          <w:rFonts w:hAnsi="宋体" w:cs="宋体"/>
          <w:b/>
          <w:color w:val="auto"/>
          <w:sz w:val="21"/>
          <w:szCs w:val="21"/>
          <w:highlight w:val="none"/>
        </w:rPr>
      </w:pPr>
      <w:r>
        <w:rPr>
          <w:rFonts w:hint="eastAsia" w:hAnsi="宋体" w:cs="宋体"/>
          <w:b/>
          <w:color w:val="auto"/>
          <w:highlight w:val="none"/>
        </w:rPr>
        <w:br w:type="page"/>
      </w:r>
      <w:bookmarkStart w:id="1328" w:name="_Toc528659815"/>
      <w:bookmarkStart w:id="1329" w:name="_Toc484599509"/>
      <w:bookmarkStart w:id="1330" w:name="_Toc510104793"/>
      <w:bookmarkStart w:id="1331" w:name="_Toc508619367"/>
      <w:bookmarkStart w:id="1332" w:name="_Toc508036027"/>
      <w:bookmarkStart w:id="1333" w:name="_Toc513112103"/>
      <w:bookmarkStart w:id="1334" w:name="_Toc511293859"/>
      <w:bookmarkStart w:id="1335" w:name="_Toc12269"/>
      <w:bookmarkStart w:id="1336" w:name="_Toc23339"/>
      <w:bookmarkStart w:id="1337" w:name="_Toc522036007"/>
      <w:bookmarkStart w:id="1338" w:name="_Toc6433"/>
      <w:bookmarkStart w:id="1339" w:name="_Toc500260809"/>
      <w:bookmarkStart w:id="1340" w:name="_Toc18107"/>
      <w:bookmarkStart w:id="1341" w:name="_Toc3416"/>
      <w:bookmarkStart w:id="1342" w:name="_Toc23264"/>
      <w:bookmarkStart w:id="1343" w:name="_Toc513630887"/>
      <w:bookmarkStart w:id="1344" w:name="_Toc5946"/>
      <w:bookmarkStart w:id="1345" w:name="_Toc4139"/>
      <w:bookmarkStart w:id="1346" w:name="_Toc535418265"/>
      <w:r>
        <w:rPr>
          <w:rFonts w:hint="eastAsia" w:hAnsi="宋体" w:cs="宋体"/>
          <w:b/>
          <w:color w:val="auto"/>
          <w:sz w:val="21"/>
          <w:szCs w:val="21"/>
          <w:highlight w:val="none"/>
          <w:lang w:val="en-US" w:eastAsia="zh-CN"/>
        </w:rPr>
        <w:t xml:space="preserve">4. </w:t>
      </w:r>
      <w:r>
        <w:rPr>
          <w:rFonts w:hint="eastAsia" w:hAnsi="宋体" w:cs="宋体"/>
          <w:b/>
          <w:color w:val="auto"/>
          <w:sz w:val="21"/>
          <w:szCs w:val="21"/>
          <w:highlight w:val="none"/>
        </w:rPr>
        <w:t>资格性审查证明文件</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213EC7F">
      <w:pPr>
        <w:tabs>
          <w:tab w:val="left" w:pos="851"/>
        </w:tabs>
        <w:spacing w:line="360" w:lineRule="auto"/>
        <w:ind w:right="-172" w:rightChars="-82" w:firstLine="413" w:firstLineChars="196"/>
        <w:rPr>
          <w:rFonts w:ascii="宋体" w:hAnsi="宋体" w:cs="宋体"/>
          <w:b/>
          <w:color w:val="auto"/>
          <w:highlight w:val="none"/>
        </w:rPr>
      </w:pPr>
      <w:r>
        <w:rPr>
          <w:rFonts w:hint="eastAsia" w:ascii="宋体" w:hAnsi="宋体" w:cs="宋体"/>
          <w:b/>
          <w:color w:val="auto"/>
          <w:highlight w:val="none"/>
        </w:rPr>
        <w:t>以下材料（加盖公章）将作为参选人资格性审查的证明文件，参选人必须严格按照其内容及序列要求在参选文件中对应如实提供，对资格性证明文件的任何缺漏和不符合项将会直接导致参选无效！</w:t>
      </w:r>
    </w:p>
    <w:p w14:paraId="3E952A4F">
      <w:pPr>
        <w:pStyle w:val="6"/>
        <w:spacing w:line="360" w:lineRule="auto"/>
        <w:rPr>
          <w:rFonts w:ascii="宋体" w:hAnsi="宋体" w:cs="宋体"/>
          <w:color w:val="auto"/>
          <w:highlight w:val="none"/>
        </w:rPr>
      </w:pPr>
    </w:p>
    <w:p w14:paraId="4B263847">
      <w:pPr>
        <w:tabs>
          <w:tab w:val="left" w:pos="851"/>
        </w:tabs>
        <w:spacing w:line="360" w:lineRule="auto"/>
        <w:rPr>
          <w:rFonts w:ascii="宋体" w:hAnsi="宋体" w:cs="宋体"/>
          <w:color w:val="auto"/>
          <w:highlight w:val="none"/>
        </w:rPr>
      </w:pPr>
      <w:r>
        <w:rPr>
          <w:rFonts w:hint="eastAsia" w:ascii="宋体" w:hAnsi="宋体" w:cs="宋体"/>
          <w:color w:val="auto"/>
          <w:highlight w:val="none"/>
        </w:rPr>
        <w:t>4.1参选人必须是具有独立承担民事责任能力的在中华人民共和国境内注册的法人或其他组织或自然人（提交有效的营业执照（或事业法人登记证等相关证明）副本复印件）。</w:t>
      </w:r>
    </w:p>
    <w:p w14:paraId="042DE225">
      <w:pPr>
        <w:tabs>
          <w:tab w:val="left" w:pos="851"/>
        </w:tabs>
        <w:spacing w:line="360" w:lineRule="auto"/>
        <w:rPr>
          <w:rFonts w:ascii="宋体" w:hAnsi="宋体" w:cs="宋体"/>
          <w:color w:val="auto"/>
          <w:highlight w:val="none"/>
        </w:rPr>
      </w:pPr>
    </w:p>
    <w:p w14:paraId="6DFC1198">
      <w:pPr>
        <w:tabs>
          <w:tab w:val="left" w:pos="851"/>
        </w:tabs>
        <w:spacing w:line="360" w:lineRule="auto"/>
        <w:rPr>
          <w:rFonts w:ascii="宋体" w:hAnsi="宋体" w:cs="宋体"/>
          <w:color w:val="auto"/>
          <w:highlight w:val="none"/>
        </w:rPr>
      </w:pPr>
      <w:r>
        <w:rPr>
          <w:rFonts w:hint="eastAsia" w:ascii="宋体" w:hAnsi="宋体" w:cs="宋体"/>
          <w:color w:val="auto"/>
          <w:highlight w:val="none"/>
        </w:rPr>
        <w:t>4.2 资格声明函</w:t>
      </w:r>
    </w:p>
    <w:p w14:paraId="3778FC3E">
      <w:pPr>
        <w:pStyle w:val="6"/>
        <w:spacing w:line="360" w:lineRule="auto"/>
        <w:ind w:firstLine="0"/>
        <w:jc w:val="center"/>
        <w:rPr>
          <w:rFonts w:hint="eastAsia" w:ascii="宋体" w:hAnsi="宋体" w:cs="宋体"/>
          <w:b/>
          <w:bCs/>
          <w:color w:val="auto"/>
          <w:highlight w:val="none"/>
        </w:rPr>
      </w:pPr>
      <w:r>
        <w:rPr>
          <w:rFonts w:hint="eastAsia" w:ascii="宋体" w:hAnsi="宋体" w:cs="宋体"/>
          <w:b/>
          <w:bCs/>
          <w:color w:val="auto"/>
          <w:highlight w:val="none"/>
        </w:rPr>
        <w:t>《资格声明函》</w:t>
      </w:r>
    </w:p>
    <w:p w14:paraId="10697318">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hint="eastAsia" w:ascii="宋体" w:hAnsi="宋体" w:cs="宋体"/>
          <w:color w:val="auto"/>
          <w:highlight w:val="none"/>
        </w:rPr>
      </w:pPr>
      <w:r>
        <w:rPr>
          <w:rFonts w:hint="eastAsia" w:ascii="宋体" w:hAnsi="宋体" w:cs="宋体"/>
          <w:color w:val="auto"/>
          <w:highlight w:val="none"/>
        </w:rPr>
        <w:t>广州中经招标有限公司：</w:t>
      </w:r>
    </w:p>
    <w:p w14:paraId="63607FB5">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关于贵公司发布</w:t>
      </w:r>
      <w:r>
        <w:rPr>
          <w:rFonts w:hint="eastAsia" w:ascii="宋体" w:hAnsi="宋体" w:cs="宋体"/>
          <w:color w:val="auto"/>
          <w:highlight w:val="none"/>
          <w:lang w:eastAsia="zh-CN"/>
        </w:rPr>
        <w:t>广州医科大学附属妇女儿童医疗中心增城院区生活垃圾清运服务项目（二次）</w:t>
      </w:r>
      <w:r>
        <w:rPr>
          <w:rFonts w:hint="eastAsia" w:ascii="宋体" w:hAnsi="宋体" w:cs="宋体"/>
          <w:color w:val="auto"/>
          <w:highlight w:val="none"/>
        </w:rPr>
        <w:t>（项目编号：</w:t>
      </w:r>
      <w:r>
        <w:rPr>
          <w:rFonts w:hint="eastAsia" w:ascii="宋体" w:hAnsi="宋体" w:cs="宋体"/>
          <w:color w:val="auto"/>
          <w:highlight w:val="none"/>
          <w:lang w:eastAsia="zh-CN"/>
        </w:rPr>
        <w:t>GZZJ-FG-2026114</w:t>
      </w:r>
      <w:r>
        <w:rPr>
          <w:rFonts w:hint="eastAsia" w:ascii="宋体" w:hAnsi="宋体" w:cs="宋体"/>
          <w:color w:val="auto"/>
          <w:highlight w:val="none"/>
        </w:rPr>
        <w:t>）的采购公告及采购文件，本单位愿意参加投标，并声明：</w:t>
      </w:r>
    </w:p>
    <w:p w14:paraId="63D0E29D">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一、本单位具备以下条件：</w:t>
      </w:r>
    </w:p>
    <w:p w14:paraId="57879BE9">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（一）具有良好的社会、商业信誉和健全的内部治理结构、财务会计和资产管理制度；</w:t>
      </w:r>
    </w:p>
    <w:p w14:paraId="2C4B08F0">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（二）具备提供服务所必需的设施、人员和专业技术能力；</w:t>
      </w:r>
    </w:p>
    <w:p w14:paraId="3A6B881F">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（三）有依法缴纳税收和社会保障资金的良好记录；</w:t>
      </w:r>
    </w:p>
    <w:p w14:paraId="1289CB72">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14:paraId="2220FAB4">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（五）法律、法规规定要求的其他条件</w:t>
      </w:r>
    </w:p>
    <w:p w14:paraId="1610E59E">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（六）本单位并非联合体参加投标，承诺中</w:t>
      </w:r>
      <w:r>
        <w:rPr>
          <w:rFonts w:hint="eastAsia" w:ascii="宋体" w:hAnsi="宋体" w:cs="宋体"/>
          <w:color w:val="auto"/>
          <w:highlight w:val="none"/>
          <w:lang w:val="en-US" w:eastAsia="zh-CN"/>
        </w:rPr>
        <w:t>选</w:t>
      </w:r>
      <w:r>
        <w:rPr>
          <w:rFonts w:hint="eastAsia" w:ascii="宋体" w:hAnsi="宋体" w:cs="宋体"/>
          <w:color w:val="auto"/>
          <w:highlight w:val="none"/>
        </w:rPr>
        <w:t>后不将本项目分包、转包。</w:t>
      </w:r>
    </w:p>
    <w:p w14:paraId="4E252297">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二、本单位没有为采购项目同一合同项下提供整体设计、规范编制或者项目管理、监理、检测等服务。</w:t>
      </w:r>
    </w:p>
    <w:p w14:paraId="4A596960">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三、我方承诺如与本项目同一合同项下其他</w:t>
      </w:r>
      <w:r>
        <w:rPr>
          <w:rFonts w:hint="eastAsia" w:ascii="宋体" w:hAnsi="宋体" w:cs="宋体"/>
          <w:color w:val="auto"/>
          <w:highlight w:val="none"/>
          <w:lang w:eastAsia="zh-CN"/>
        </w:rPr>
        <w:t>参选人</w:t>
      </w:r>
      <w:r>
        <w:rPr>
          <w:rFonts w:hint="eastAsia" w:ascii="宋体" w:hAnsi="宋体" w:cs="宋体"/>
          <w:color w:val="auto"/>
          <w:highlight w:val="none"/>
        </w:rPr>
        <w:t>的单位负责人为同一人或者存在直接控股、管理关系的情形，同意按投标无效处理。</w:t>
      </w:r>
    </w:p>
    <w:p w14:paraId="02CEE57B">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四、本单位承诺在本次招标采购活动中，如有违法、违规、弄虚作假行为，所造成的损失、不良后果及法律责任，一律由我单位承担。</w:t>
      </w:r>
    </w:p>
    <w:p w14:paraId="0AF078D8">
      <w:pPr>
        <w:pStyle w:val="6"/>
        <w:keepNext w:val="0"/>
        <w:keepLines w:val="0"/>
        <w:pageBreakBefore w:val="0"/>
        <w:widowControl/>
        <w:kinsoku/>
        <w:wordWrap/>
        <w:overflowPunct/>
        <w:topLinePunct w:val="0"/>
        <w:autoSpaceDE/>
        <w:autoSpaceDN/>
        <w:bidi w:val="0"/>
        <w:adjustRightInd/>
        <w:snapToGrid/>
        <w:spacing w:line="264" w:lineRule="auto"/>
        <w:ind w:firstLine="420" w:firstLineChars="200"/>
        <w:textAlignment w:val="auto"/>
        <w:rPr>
          <w:rFonts w:hint="eastAsia" w:ascii="宋体" w:hAnsi="宋体" w:cs="宋体"/>
          <w:color w:val="auto"/>
          <w:highlight w:val="none"/>
        </w:rPr>
      </w:pPr>
      <w:r>
        <w:rPr>
          <w:rFonts w:hint="eastAsia" w:ascii="宋体" w:hAnsi="宋体" w:cs="宋体"/>
          <w:color w:val="auto"/>
          <w:highlight w:val="none"/>
        </w:rPr>
        <w:t>特此声明！</w:t>
      </w:r>
    </w:p>
    <w:p w14:paraId="4FF69615">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hint="eastAsia" w:ascii="宋体" w:hAnsi="宋体" w:cs="宋体"/>
          <w:color w:val="auto"/>
          <w:highlight w:val="none"/>
        </w:rPr>
      </w:pPr>
    </w:p>
    <w:p w14:paraId="638D5C2E">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hint="eastAsia" w:ascii="宋体" w:hAnsi="宋体" w:cs="宋体"/>
          <w:color w:val="auto"/>
          <w:highlight w:val="none"/>
        </w:rPr>
      </w:pPr>
      <w:r>
        <w:rPr>
          <w:rFonts w:hint="eastAsia" w:ascii="宋体" w:hAnsi="宋体" w:cs="宋体"/>
          <w:color w:val="auto"/>
          <w:highlight w:val="none"/>
        </w:rPr>
        <w:t>说明：</w:t>
      </w:r>
    </w:p>
    <w:p w14:paraId="7E0AF67E">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hint="eastAsia" w:ascii="宋体" w:hAnsi="宋体" w:cs="宋体"/>
          <w:color w:val="auto"/>
          <w:highlight w:val="none"/>
        </w:rPr>
      </w:pPr>
      <w:r>
        <w:rPr>
          <w:rFonts w:hint="eastAsia" w:ascii="宋体" w:hAnsi="宋体" w:cs="宋体"/>
          <w:color w:val="auto"/>
          <w:highlight w:val="none"/>
        </w:rPr>
        <w:t>1、本声明函必须提供且内容不得擅自删改，否则视为无效响应。</w:t>
      </w:r>
    </w:p>
    <w:p w14:paraId="2C347637">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hint="eastAsia" w:ascii="宋体" w:hAnsi="宋体" w:cs="宋体"/>
          <w:color w:val="auto"/>
          <w:highlight w:val="none"/>
        </w:rPr>
      </w:pPr>
      <w:r>
        <w:rPr>
          <w:rFonts w:hint="eastAsia" w:ascii="宋体" w:hAnsi="宋体" w:cs="宋体"/>
          <w:color w:val="auto"/>
          <w:highlight w:val="none"/>
        </w:rPr>
        <w:t>2、本声明函如有虚假或与事实不符的，作无效响应处理。</w:t>
      </w:r>
    </w:p>
    <w:p w14:paraId="768711B0">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hint="eastAsia" w:ascii="宋体" w:hAnsi="宋体" w:cs="宋体"/>
          <w:color w:val="auto"/>
          <w:highlight w:val="none"/>
        </w:rPr>
      </w:pPr>
      <w:r>
        <w:rPr>
          <w:rFonts w:hint="eastAsia" w:ascii="宋体" w:hAnsi="宋体" w:cs="宋体"/>
          <w:color w:val="auto"/>
          <w:highlight w:val="none"/>
          <w:lang w:eastAsia="zh-CN"/>
        </w:rPr>
        <w:t>参选人</w:t>
      </w:r>
      <w:r>
        <w:rPr>
          <w:rFonts w:hint="eastAsia" w:ascii="宋体" w:hAnsi="宋体" w:cs="宋体"/>
          <w:color w:val="auto"/>
          <w:highlight w:val="none"/>
        </w:rPr>
        <w:t>名称（盖公章）：</w:t>
      </w:r>
    </w:p>
    <w:p w14:paraId="310A11AE">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hint="eastAsia" w:ascii="宋体" w:hAnsi="宋体" w:cs="宋体"/>
          <w:color w:val="auto"/>
          <w:highlight w:val="none"/>
        </w:rPr>
      </w:pPr>
      <w:r>
        <w:rPr>
          <w:rFonts w:hint="eastAsia" w:ascii="宋体" w:hAnsi="宋体" w:cs="宋体"/>
          <w:color w:val="auto"/>
          <w:highlight w:val="none"/>
        </w:rPr>
        <w:t>地址：</w:t>
      </w:r>
    </w:p>
    <w:p w14:paraId="0C43F9B0">
      <w:pPr>
        <w:pStyle w:val="6"/>
        <w:keepNext w:val="0"/>
        <w:keepLines w:val="0"/>
        <w:pageBreakBefore w:val="0"/>
        <w:widowControl/>
        <w:kinsoku/>
        <w:wordWrap/>
        <w:overflowPunct/>
        <w:topLinePunct w:val="0"/>
        <w:autoSpaceDE/>
        <w:autoSpaceDN/>
        <w:bidi w:val="0"/>
        <w:adjustRightInd/>
        <w:snapToGrid/>
        <w:spacing w:line="264" w:lineRule="auto"/>
        <w:ind w:firstLine="0"/>
        <w:textAlignment w:val="auto"/>
        <w:rPr>
          <w:rFonts w:ascii="宋体" w:hAnsi="宋体" w:cs="宋体"/>
          <w:color w:val="auto"/>
          <w:highlight w:val="none"/>
        </w:rPr>
      </w:pPr>
      <w:r>
        <w:rPr>
          <w:rFonts w:hint="eastAsia" w:ascii="宋体" w:hAnsi="宋体" w:cs="宋体"/>
          <w:color w:val="auto"/>
          <w:highlight w:val="none"/>
        </w:rPr>
        <w:t>日期：</w:t>
      </w:r>
      <w:r>
        <w:rPr>
          <w:rFonts w:hint="eastAsia" w:ascii="宋体" w:hAnsi="宋体" w:cs="宋体"/>
          <w:color w:val="auto"/>
          <w:highlight w:val="none"/>
        </w:rPr>
        <w:br w:type="page"/>
      </w:r>
    </w:p>
    <w:p w14:paraId="7E569A64">
      <w:pPr>
        <w:pStyle w:val="6"/>
        <w:spacing w:line="360" w:lineRule="auto"/>
        <w:ind w:firstLine="0"/>
        <w:rPr>
          <w:rFonts w:ascii="宋体" w:hAnsi="宋体" w:cs="宋体"/>
          <w:color w:val="auto"/>
          <w:highlight w:val="none"/>
        </w:rPr>
      </w:pPr>
      <w:r>
        <w:rPr>
          <w:rFonts w:hint="eastAsia" w:ascii="宋体" w:hAnsi="宋体" w:cs="宋体"/>
          <w:color w:val="auto"/>
          <w:highlight w:val="none"/>
        </w:rPr>
        <w:t>4.3参选人资格要求中要求提交的其他资质证明文件。</w:t>
      </w:r>
    </w:p>
    <w:tbl>
      <w:tblPr>
        <w:tblStyle w:val="24"/>
        <w:tblW w:w="0" w:type="auto"/>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751"/>
        <w:gridCol w:w="6485"/>
        <w:gridCol w:w="1545"/>
      </w:tblGrid>
      <w:tr w14:paraId="4EA149CF">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308" w:hRule="atLeast"/>
          <w:tblHeader/>
          <w:jc w:val="center"/>
        </w:trPr>
        <w:tc>
          <w:tcPr>
            <w:tcW w:w="751" w:type="dxa"/>
            <w:tcBorders>
              <w:top w:val="outset" w:color="111111" w:sz="6" w:space="0"/>
              <w:left w:val="outset" w:color="111111" w:sz="6" w:space="0"/>
              <w:bottom w:val="outset" w:color="111111" w:sz="6" w:space="0"/>
              <w:right w:val="outset" w:color="111111" w:sz="6" w:space="0"/>
            </w:tcBorders>
            <w:vAlign w:val="center"/>
          </w:tcPr>
          <w:p w14:paraId="22DB24D6">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序号</w:t>
            </w:r>
          </w:p>
        </w:tc>
        <w:tc>
          <w:tcPr>
            <w:tcW w:w="6485" w:type="dxa"/>
            <w:tcBorders>
              <w:top w:val="outset" w:color="111111" w:sz="6" w:space="0"/>
              <w:left w:val="outset" w:color="111111" w:sz="6" w:space="0"/>
              <w:bottom w:val="outset" w:color="111111" w:sz="6" w:space="0"/>
              <w:right w:val="outset" w:color="111111" w:sz="6" w:space="0"/>
            </w:tcBorders>
            <w:vAlign w:val="center"/>
          </w:tcPr>
          <w:p w14:paraId="580DEAD8">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Style w:val="27"/>
                <w:rFonts w:hint="eastAsia" w:ascii="宋体" w:hAnsi="宋体" w:cs="宋体"/>
                <w:color w:val="auto"/>
                <w:highlight w:val="none"/>
              </w:rPr>
              <w:t>资格性审查要求</w:t>
            </w:r>
          </w:p>
        </w:tc>
        <w:tc>
          <w:tcPr>
            <w:tcW w:w="1545" w:type="dxa"/>
            <w:tcBorders>
              <w:top w:val="outset" w:color="111111" w:sz="6" w:space="0"/>
              <w:left w:val="outset" w:color="111111" w:sz="6" w:space="0"/>
              <w:bottom w:val="outset" w:color="111111" w:sz="6" w:space="0"/>
              <w:right w:val="outset" w:color="111111" w:sz="6" w:space="0"/>
            </w:tcBorders>
            <w:vAlign w:val="center"/>
          </w:tcPr>
          <w:p w14:paraId="6E6C0B94">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Style w:val="27"/>
                <w:rFonts w:hint="eastAsia" w:ascii="宋体" w:hAnsi="宋体" w:cs="宋体"/>
                <w:color w:val="auto"/>
                <w:highlight w:val="none"/>
              </w:rPr>
              <w:t>证明文件</w:t>
            </w:r>
          </w:p>
        </w:tc>
      </w:tr>
      <w:tr w14:paraId="79B0A3C7">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04" w:hRule="atLeast"/>
          <w:jc w:val="center"/>
        </w:trPr>
        <w:tc>
          <w:tcPr>
            <w:tcW w:w="751" w:type="dxa"/>
            <w:tcBorders>
              <w:top w:val="outset" w:color="111111" w:sz="6" w:space="0"/>
              <w:left w:val="outset" w:color="111111" w:sz="6" w:space="0"/>
              <w:bottom w:val="outset" w:color="111111" w:sz="6" w:space="0"/>
              <w:right w:val="outset" w:color="111111" w:sz="6" w:space="0"/>
            </w:tcBorders>
            <w:vAlign w:val="center"/>
          </w:tcPr>
          <w:p w14:paraId="7AF660F1">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r>
              <w:rPr>
                <w:rFonts w:hint="eastAsia"/>
                <w:color w:val="auto"/>
                <w:sz w:val="21"/>
                <w:szCs w:val="21"/>
                <w:highlight w:val="none"/>
              </w:rPr>
              <w:t>1</w:t>
            </w:r>
          </w:p>
        </w:tc>
        <w:tc>
          <w:tcPr>
            <w:tcW w:w="6485" w:type="dxa"/>
            <w:tcBorders>
              <w:top w:val="outset" w:color="111111" w:sz="6" w:space="0"/>
              <w:left w:val="outset" w:color="111111" w:sz="6" w:space="0"/>
              <w:bottom w:val="outset" w:color="111111" w:sz="6" w:space="0"/>
              <w:right w:val="outset" w:color="111111" w:sz="6" w:space="0"/>
            </w:tcBorders>
            <w:vAlign w:val="center"/>
          </w:tcPr>
          <w:p w14:paraId="3A3568F1">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545" w:type="dxa"/>
            <w:tcBorders>
              <w:top w:val="outset" w:color="111111" w:sz="6" w:space="0"/>
              <w:left w:val="outset" w:color="111111" w:sz="6" w:space="0"/>
              <w:bottom w:val="outset" w:color="111111" w:sz="6" w:space="0"/>
              <w:right w:val="outset" w:color="111111" w:sz="6" w:space="0"/>
            </w:tcBorders>
            <w:vAlign w:val="center"/>
          </w:tcPr>
          <w:p w14:paraId="78B53BD2">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57B8ADC2">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04" w:hRule="atLeast"/>
          <w:jc w:val="center"/>
        </w:trPr>
        <w:tc>
          <w:tcPr>
            <w:tcW w:w="751" w:type="dxa"/>
            <w:tcBorders>
              <w:top w:val="outset" w:color="111111" w:sz="6" w:space="0"/>
              <w:left w:val="outset" w:color="111111" w:sz="6" w:space="0"/>
              <w:bottom w:val="outset" w:color="111111" w:sz="6" w:space="0"/>
              <w:right w:val="outset" w:color="111111" w:sz="6" w:space="0"/>
            </w:tcBorders>
            <w:vAlign w:val="center"/>
          </w:tcPr>
          <w:p w14:paraId="3CA1A386">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r>
              <w:rPr>
                <w:rFonts w:hint="eastAsia"/>
                <w:color w:val="auto"/>
                <w:sz w:val="21"/>
                <w:szCs w:val="21"/>
                <w:highlight w:val="none"/>
              </w:rPr>
              <w:t>2</w:t>
            </w:r>
          </w:p>
        </w:tc>
        <w:tc>
          <w:tcPr>
            <w:tcW w:w="6485" w:type="dxa"/>
            <w:tcBorders>
              <w:top w:val="outset" w:color="111111" w:sz="6" w:space="0"/>
              <w:left w:val="outset" w:color="111111" w:sz="6" w:space="0"/>
              <w:bottom w:val="outset" w:color="111111" w:sz="6" w:space="0"/>
              <w:right w:val="outset" w:color="111111" w:sz="6" w:space="0"/>
            </w:tcBorders>
            <w:vAlign w:val="center"/>
          </w:tcPr>
          <w:p w14:paraId="523D0A71">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545" w:type="dxa"/>
            <w:tcBorders>
              <w:top w:val="outset" w:color="111111" w:sz="6" w:space="0"/>
              <w:left w:val="outset" w:color="111111" w:sz="6" w:space="0"/>
              <w:bottom w:val="outset" w:color="111111" w:sz="6" w:space="0"/>
              <w:right w:val="outset" w:color="111111" w:sz="6" w:space="0"/>
            </w:tcBorders>
            <w:vAlign w:val="center"/>
          </w:tcPr>
          <w:p w14:paraId="040449CA">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见参选文件第（ ）页</w:t>
            </w:r>
          </w:p>
        </w:tc>
      </w:tr>
      <w:tr w14:paraId="055076AD">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04" w:hRule="atLeast"/>
          <w:jc w:val="center"/>
        </w:trPr>
        <w:tc>
          <w:tcPr>
            <w:tcW w:w="751" w:type="dxa"/>
            <w:tcBorders>
              <w:top w:val="outset" w:color="111111" w:sz="6" w:space="0"/>
              <w:left w:val="outset" w:color="111111" w:sz="6" w:space="0"/>
              <w:bottom w:val="single" w:color="auto" w:sz="4" w:space="0"/>
              <w:right w:val="outset" w:color="111111" w:sz="6" w:space="0"/>
            </w:tcBorders>
            <w:vAlign w:val="center"/>
          </w:tcPr>
          <w:p w14:paraId="703B523A">
            <w:pPr>
              <w:pStyle w:val="19"/>
              <w:keepNext w:val="0"/>
              <w:keepLines w:val="0"/>
              <w:widowControl/>
              <w:suppressLineNumbers w:val="0"/>
              <w:spacing w:before="0" w:beforeAutospacing="0" w:after="0" w:afterAutospacing="0" w:line="360" w:lineRule="auto"/>
              <w:ind w:left="0" w:right="0"/>
              <w:jc w:val="center"/>
              <w:rPr>
                <w:rFonts w:hint="default"/>
                <w:color w:val="auto"/>
                <w:sz w:val="21"/>
                <w:szCs w:val="21"/>
                <w:highlight w:val="none"/>
              </w:rPr>
            </w:pPr>
          </w:p>
        </w:tc>
        <w:tc>
          <w:tcPr>
            <w:tcW w:w="6485" w:type="dxa"/>
            <w:tcBorders>
              <w:top w:val="outset" w:color="111111" w:sz="6" w:space="0"/>
              <w:left w:val="outset" w:color="111111" w:sz="6" w:space="0"/>
              <w:bottom w:val="outset" w:color="111111" w:sz="6" w:space="0"/>
              <w:right w:val="outset" w:color="111111" w:sz="6" w:space="0"/>
            </w:tcBorders>
            <w:vAlign w:val="center"/>
          </w:tcPr>
          <w:p w14:paraId="183C8317">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545" w:type="dxa"/>
            <w:tcBorders>
              <w:top w:val="outset" w:color="111111" w:sz="6" w:space="0"/>
              <w:left w:val="outset" w:color="111111" w:sz="6" w:space="0"/>
              <w:bottom w:val="outset" w:color="111111" w:sz="6" w:space="0"/>
              <w:right w:val="outset" w:color="111111" w:sz="6" w:space="0"/>
            </w:tcBorders>
            <w:vAlign w:val="center"/>
          </w:tcPr>
          <w:p w14:paraId="342EB032">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r>
    </w:tbl>
    <w:p w14:paraId="4E8DD9D6">
      <w:pPr>
        <w:tabs>
          <w:tab w:val="left" w:pos="851"/>
        </w:tabs>
        <w:spacing w:line="360" w:lineRule="auto"/>
        <w:rPr>
          <w:rFonts w:ascii="宋体" w:hAnsi="宋体" w:cs="宋体"/>
          <w:color w:val="auto"/>
          <w:highlight w:val="none"/>
        </w:rPr>
      </w:pPr>
    </w:p>
    <w:p w14:paraId="264221D7">
      <w:pPr>
        <w:tabs>
          <w:tab w:val="left" w:pos="851"/>
        </w:tabs>
        <w:spacing w:line="360" w:lineRule="auto"/>
        <w:rPr>
          <w:rFonts w:ascii="宋体" w:hAnsi="宋体" w:cs="宋体"/>
          <w:color w:val="auto"/>
          <w:highlight w:val="none"/>
        </w:rPr>
      </w:pPr>
    </w:p>
    <w:p w14:paraId="2B74130D">
      <w:pPr>
        <w:widowControl w:val="0"/>
        <w:numPr>
          <w:ilvl w:val="0"/>
          <w:numId w:val="0"/>
        </w:numPr>
        <w:tabs>
          <w:tab w:val="left" w:pos="851"/>
        </w:tabs>
        <w:spacing w:line="360" w:lineRule="auto"/>
        <w:ind w:left="360" w:leftChars="0" w:hanging="360" w:firstLineChars="0"/>
        <w:jc w:val="both"/>
        <w:outlineLvl w:val="1"/>
        <w:rPr>
          <w:rFonts w:ascii="宋体" w:hAnsi="宋体" w:eastAsia="宋体" w:cs="宋体"/>
          <w:b/>
          <w:bCs w:val="0"/>
          <w:color w:val="auto"/>
          <w:sz w:val="21"/>
          <w:szCs w:val="21"/>
          <w:highlight w:val="none"/>
          <w:lang w:val="en-US" w:eastAsia="zh-CN" w:bidi="ar-SA"/>
        </w:rPr>
      </w:pPr>
    </w:p>
    <w:p w14:paraId="63DCA612">
      <w:pPr>
        <w:widowControl w:val="0"/>
        <w:numPr>
          <w:ilvl w:val="0"/>
          <w:numId w:val="0"/>
        </w:numPr>
        <w:tabs>
          <w:tab w:val="left" w:pos="851"/>
        </w:tabs>
        <w:spacing w:line="360" w:lineRule="auto"/>
        <w:ind w:left="360" w:leftChars="0" w:hanging="360" w:firstLineChars="0"/>
        <w:jc w:val="both"/>
        <w:outlineLvl w:val="1"/>
        <w:rPr>
          <w:rFonts w:ascii="宋体" w:hAnsi="宋体" w:cs="宋体"/>
          <w:b/>
          <w:color w:val="auto"/>
          <w:highlight w:val="none"/>
        </w:rPr>
      </w:pPr>
      <w:r>
        <w:rPr>
          <w:rFonts w:hint="eastAsia" w:ascii="宋体" w:hAnsi="宋体" w:cs="宋体"/>
          <w:color w:val="auto"/>
          <w:highlight w:val="none"/>
        </w:rPr>
        <w:br w:type="page"/>
      </w:r>
      <w:bookmarkStart w:id="1347" w:name="_Toc522036008"/>
      <w:bookmarkStart w:id="1348" w:name="_Toc5057"/>
      <w:bookmarkStart w:id="1349" w:name="_Toc14540"/>
      <w:bookmarkStart w:id="1350" w:name="_Toc513630888"/>
      <w:bookmarkStart w:id="1351" w:name="_Toc6617"/>
      <w:bookmarkStart w:id="1352" w:name="_Toc17671"/>
      <w:bookmarkStart w:id="1353" w:name="_Toc528659816"/>
      <w:bookmarkStart w:id="1354" w:name="_Toc25422"/>
      <w:bookmarkStart w:id="1355" w:name="_Toc535418266"/>
      <w:bookmarkStart w:id="1356" w:name="_Toc513112104"/>
      <w:bookmarkStart w:id="1357" w:name="_Toc11191"/>
      <w:r>
        <w:rPr>
          <w:rFonts w:hint="eastAsia" w:ascii="宋体" w:hAnsi="宋体" w:cs="宋体"/>
          <w:b/>
          <w:bCs/>
          <w:color w:val="auto"/>
          <w:highlight w:val="none"/>
          <w:lang w:val="en-US" w:eastAsia="zh-CN"/>
        </w:rPr>
        <w:t xml:space="preserve">5. </w:t>
      </w:r>
      <w:r>
        <w:rPr>
          <w:rFonts w:hint="eastAsia" w:ascii="宋体" w:hAnsi="宋体" w:cs="宋体"/>
          <w:b/>
          <w:bCs/>
          <w:color w:val="auto"/>
          <w:highlight w:val="none"/>
        </w:rPr>
        <w:t>其他资格证明文件</w:t>
      </w:r>
      <w:bookmarkEnd w:id="1347"/>
      <w:bookmarkEnd w:id="1348"/>
      <w:bookmarkEnd w:id="1349"/>
      <w:bookmarkEnd w:id="1350"/>
      <w:bookmarkEnd w:id="1351"/>
      <w:bookmarkEnd w:id="1352"/>
      <w:bookmarkEnd w:id="1353"/>
      <w:bookmarkEnd w:id="1354"/>
      <w:bookmarkEnd w:id="1355"/>
      <w:bookmarkEnd w:id="1356"/>
      <w:bookmarkEnd w:id="1357"/>
    </w:p>
    <w:p w14:paraId="31058D22">
      <w:pPr>
        <w:tabs>
          <w:tab w:val="left" w:pos="851"/>
        </w:tabs>
        <w:spacing w:line="360" w:lineRule="auto"/>
        <w:rPr>
          <w:rFonts w:ascii="宋体" w:hAnsi="宋体" w:cs="宋体"/>
          <w:color w:val="auto"/>
          <w:highlight w:val="none"/>
        </w:rPr>
      </w:pPr>
      <w:r>
        <w:rPr>
          <w:rFonts w:hint="eastAsia" w:ascii="宋体" w:hAnsi="宋体" w:cs="宋体"/>
          <w:color w:val="auto"/>
          <w:highlight w:val="none"/>
        </w:rPr>
        <w:t xml:space="preserve">5.1 法定代表人证明书 </w:t>
      </w:r>
    </w:p>
    <w:p w14:paraId="05B4589D">
      <w:pPr>
        <w:spacing w:line="360" w:lineRule="auto"/>
        <w:rPr>
          <w:rFonts w:ascii="宋体" w:hAnsi="宋体" w:cs="宋体"/>
          <w:bCs/>
          <w:color w:val="auto"/>
          <w:highlight w:val="none"/>
        </w:rPr>
      </w:pPr>
      <w:r>
        <w:rPr>
          <w:rFonts w:hint="eastAsia" w:ascii="宋体" w:hAnsi="宋体" w:cs="宋体"/>
          <w:bCs/>
          <w:color w:val="auto"/>
          <w:highlight w:val="none"/>
        </w:rPr>
        <w:t>（参选人可使用下述格式，也可使用广东省工商行政管理局统一印制的法定代表人证明书格式）</w:t>
      </w:r>
    </w:p>
    <w:p w14:paraId="4B167DBA">
      <w:pPr>
        <w:spacing w:line="360" w:lineRule="auto"/>
        <w:jc w:val="center"/>
        <w:rPr>
          <w:rFonts w:ascii="宋体" w:hAnsi="宋体" w:cs="宋体"/>
          <w:b/>
          <w:color w:val="auto"/>
          <w:highlight w:val="none"/>
        </w:rPr>
      </w:pPr>
    </w:p>
    <w:p w14:paraId="5E301BC7">
      <w:pPr>
        <w:spacing w:line="360" w:lineRule="auto"/>
        <w:jc w:val="center"/>
        <w:rPr>
          <w:rFonts w:ascii="宋体" w:hAnsi="宋体" w:cs="宋体"/>
          <w:b/>
          <w:color w:val="auto"/>
          <w:highlight w:val="none"/>
        </w:rPr>
      </w:pPr>
      <w:r>
        <w:rPr>
          <w:rFonts w:hint="eastAsia" w:ascii="宋体" w:hAnsi="宋体" w:cs="宋体"/>
          <w:b/>
          <w:color w:val="auto"/>
          <w:highlight w:val="none"/>
        </w:rPr>
        <w:t>法定代表人证明书</w:t>
      </w:r>
    </w:p>
    <w:p w14:paraId="6F280383">
      <w:pPr>
        <w:spacing w:line="360" w:lineRule="auto"/>
        <w:rPr>
          <w:rFonts w:ascii="宋体" w:hAnsi="宋体" w:cs="宋体"/>
          <w:bCs/>
          <w:color w:val="auto"/>
          <w:highlight w:val="none"/>
          <w:u w:val="single"/>
        </w:rPr>
      </w:pPr>
    </w:p>
    <w:p w14:paraId="4F3D1606">
      <w:pPr>
        <w:spacing w:line="360" w:lineRule="auto"/>
        <w:rPr>
          <w:rFonts w:ascii="宋体" w:hAnsi="宋体" w:cs="宋体"/>
          <w:bCs/>
          <w:color w:val="auto"/>
          <w:highlight w:val="none"/>
        </w:rPr>
      </w:pPr>
      <w:r>
        <w:rPr>
          <w:rFonts w:hint="eastAsia" w:ascii="宋体" w:hAnsi="宋体" w:cs="宋体"/>
          <w:bCs/>
          <w:color w:val="auto"/>
          <w:highlight w:val="none"/>
          <w:u w:val="single"/>
        </w:rPr>
        <w:t>_________</w:t>
      </w:r>
      <w:r>
        <w:rPr>
          <w:rFonts w:hint="eastAsia" w:ascii="宋体" w:hAnsi="宋体" w:cs="宋体"/>
          <w:bCs/>
          <w:color w:val="auto"/>
          <w:highlight w:val="none"/>
        </w:rPr>
        <w:t>现任我单位</w:t>
      </w:r>
      <w:r>
        <w:rPr>
          <w:rFonts w:hint="eastAsia" w:ascii="宋体" w:hAnsi="宋体" w:cs="宋体"/>
          <w:bCs/>
          <w:color w:val="auto"/>
          <w:highlight w:val="none"/>
          <w:u w:val="single"/>
        </w:rPr>
        <w:t xml:space="preserve"> </w:t>
      </w:r>
      <w:r>
        <w:rPr>
          <w:rFonts w:hint="eastAsia" w:ascii="宋体" w:hAnsi="宋体" w:cs="宋体"/>
          <w:bCs/>
          <w:color w:val="auto"/>
          <w:highlight w:val="none"/>
        </w:rPr>
        <w:t>职务，为法定代表人，特此证明。</w:t>
      </w:r>
    </w:p>
    <w:p w14:paraId="5039CFB5">
      <w:pPr>
        <w:spacing w:line="360" w:lineRule="auto"/>
        <w:rPr>
          <w:rFonts w:ascii="宋体" w:hAnsi="宋体" w:cs="宋体"/>
          <w:bCs/>
          <w:color w:val="auto"/>
          <w:highlight w:val="none"/>
          <w:u w:val="single"/>
        </w:rPr>
      </w:pPr>
      <w:r>
        <w:rPr>
          <w:rFonts w:hint="eastAsia" w:ascii="宋体" w:hAnsi="宋体" w:cs="宋体"/>
          <w:bCs/>
          <w:color w:val="auto"/>
          <w:highlight w:val="none"/>
        </w:rPr>
        <w:t>有效期限至：</w:t>
      </w:r>
      <w:r>
        <w:rPr>
          <w:rFonts w:hint="eastAsia" w:ascii="宋体" w:hAnsi="宋体" w:cs="宋体"/>
          <w:color w:val="auto"/>
          <w:highlight w:val="none"/>
          <w:u w:val="single"/>
        </w:rPr>
        <w:t xml:space="preserve"> </w:t>
      </w:r>
      <w:r>
        <w:rPr>
          <w:rFonts w:hint="eastAsia" w:ascii="宋体" w:hAnsi="宋体" w:cs="宋体"/>
          <w:color w:val="auto"/>
          <w:highlight w:val="none"/>
        </w:rPr>
        <w:t>年月日</w:t>
      </w:r>
    </w:p>
    <w:p w14:paraId="172665DF">
      <w:pPr>
        <w:spacing w:line="360" w:lineRule="auto"/>
        <w:rPr>
          <w:rFonts w:ascii="宋体" w:hAnsi="宋体" w:cs="宋体"/>
          <w:bCs/>
          <w:color w:val="auto"/>
          <w:highlight w:val="none"/>
        </w:rPr>
      </w:pPr>
      <w:r>
        <w:rPr>
          <w:rFonts w:hint="eastAsia" w:ascii="宋体" w:hAnsi="宋体" w:cs="宋体"/>
          <w:bCs/>
          <w:color w:val="auto"/>
          <w:highlight w:val="none"/>
        </w:rPr>
        <w:t>附：代表人性别：</w:t>
      </w:r>
      <w:r>
        <w:rPr>
          <w:rFonts w:hint="eastAsia" w:ascii="宋体" w:hAnsi="宋体" w:cs="宋体"/>
          <w:bCs/>
          <w:color w:val="auto"/>
          <w:highlight w:val="none"/>
          <w:u w:val="single"/>
        </w:rPr>
        <w:t xml:space="preserve">  </w:t>
      </w:r>
      <w:r>
        <w:rPr>
          <w:rFonts w:hint="eastAsia" w:ascii="宋体" w:hAnsi="宋体" w:cs="宋体"/>
          <w:bCs/>
          <w:color w:val="auto"/>
          <w:highlight w:val="none"/>
        </w:rPr>
        <w:t>年龄：</w:t>
      </w:r>
      <w:r>
        <w:rPr>
          <w:rFonts w:hint="eastAsia" w:ascii="宋体" w:hAnsi="宋体" w:cs="宋体"/>
          <w:bCs/>
          <w:color w:val="auto"/>
          <w:highlight w:val="none"/>
          <w:u w:val="single"/>
        </w:rPr>
        <w:t xml:space="preserve"> </w:t>
      </w:r>
      <w:r>
        <w:rPr>
          <w:rFonts w:hint="eastAsia" w:ascii="宋体" w:hAnsi="宋体" w:cs="宋体"/>
          <w:bCs/>
          <w:color w:val="auto"/>
          <w:highlight w:val="none"/>
        </w:rPr>
        <w:t>身份证号码：</w:t>
      </w:r>
      <w:r>
        <w:rPr>
          <w:rFonts w:hint="eastAsia" w:ascii="宋体" w:hAnsi="宋体" w:cs="宋体"/>
          <w:bCs/>
          <w:color w:val="auto"/>
          <w:highlight w:val="none"/>
          <w:u w:val="single"/>
        </w:rPr>
        <w:t>___    ______</w:t>
      </w:r>
    </w:p>
    <w:p w14:paraId="41EC3530">
      <w:pPr>
        <w:spacing w:line="360" w:lineRule="auto"/>
        <w:rPr>
          <w:rFonts w:ascii="宋体" w:hAnsi="宋体" w:cs="宋体"/>
          <w:bCs/>
          <w:color w:val="auto"/>
          <w:highlight w:val="none"/>
        </w:rPr>
      </w:pPr>
      <w:r>
        <w:rPr>
          <w:rFonts w:hint="eastAsia" w:ascii="宋体" w:hAnsi="宋体" w:cs="宋体"/>
          <w:bCs/>
          <w:color w:val="auto"/>
          <w:highlight w:val="none"/>
        </w:rPr>
        <w:t xml:space="preserve">统一社会信用代码：企业类型：____________ </w:t>
      </w:r>
    </w:p>
    <w:p w14:paraId="1524186A">
      <w:pPr>
        <w:spacing w:line="360" w:lineRule="auto"/>
        <w:rPr>
          <w:rFonts w:ascii="宋体" w:hAnsi="宋体" w:cs="宋体"/>
          <w:b/>
          <w:color w:val="auto"/>
          <w:highlight w:val="none"/>
          <w:u w:val="single"/>
        </w:rPr>
      </w:pPr>
      <w:r>
        <w:rPr>
          <w:rFonts w:hint="eastAsia" w:ascii="宋体" w:hAnsi="宋体" w:cs="宋体"/>
          <w:bCs/>
          <w:color w:val="auto"/>
          <w:highlight w:val="none"/>
        </w:rPr>
        <w:t>经营范围：</w:t>
      </w:r>
      <w:r>
        <w:rPr>
          <w:rFonts w:hint="eastAsia" w:ascii="宋体" w:hAnsi="宋体" w:cs="宋体"/>
          <w:bCs/>
          <w:color w:val="auto"/>
          <w:highlight w:val="none"/>
          <w:u w:val="single"/>
        </w:rPr>
        <w:t xml:space="preserve">  </w:t>
      </w:r>
      <w:r>
        <w:rPr>
          <w:rFonts w:hint="eastAsia" w:ascii="宋体" w:hAnsi="宋体" w:cs="宋体"/>
          <w:color w:val="auto"/>
          <w:highlight w:val="none"/>
        </w:rPr>
        <w:t>。</w:t>
      </w:r>
    </w:p>
    <w:p w14:paraId="2FEFD6B2">
      <w:pPr>
        <w:spacing w:line="360" w:lineRule="auto"/>
        <w:rPr>
          <w:rFonts w:ascii="宋体" w:hAnsi="宋体" w:cs="宋体"/>
          <w:color w:val="auto"/>
          <w:highlight w:val="none"/>
        </w:rPr>
      </w:pPr>
    </w:p>
    <w:p w14:paraId="517E76E7">
      <w:pPr>
        <w:spacing w:line="360" w:lineRule="auto"/>
        <w:rPr>
          <w:rFonts w:ascii="宋体" w:hAnsi="宋体" w:cs="宋体"/>
          <w:b/>
          <w:color w:val="auto"/>
          <w:highlight w:val="none"/>
        </w:rPr>
      </w:pPr>
      <w:r>
        <w:rPr>
          <w:rFonts w:ascii="宋体" w:hAnsi="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19685</wp:posOffset>
                </wp:positionH>
                <wp:positionV relativeFrom="paragraph">
                  <wp:posOffset>166370</wp:posOffset>
                </wp:positionV>
                <wp:extent cx="2844800" cy="1936750"/>
                <wp:effectExtent l="4445" t="4445" r="8255" b="20955"/>
                <wp:wrapTopAndBottom/>
                <wp:docPr id="9" name="圆角矩形 9"/>
                <wp:cNvGraphicFramePr/>
                <a:graphic xmlns:a="http://schemas.openxmlformats.org/drawingml/2006/main">
                  <a:graphicData uri="http://schemas.microsoft.com/office/word/2010/wordprocessingShape">
                    <wps:wsp>
                      <wps:cNvSpPr/>
                      <wps:spPr>
                        <a:xfrm>
                          <a:off x="0" y="0"/>
                          <a:ext cx="2844800" cy="1936750"/>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txbx>
                        <w:txbxContent>
                          <w:p w14:paraId="14483126">
                            <w:r>
                              <w:rPr>
                                <w:rFonts w:hint="eastAsia"/>
                                <w:b/>
                              </w:rPr>
                              <w:t>法定代表人身份证复印件（正面）粘贴处</w:t>
                            </w:r>
                          </w:p>
                        </w:txbxContent>
                      </wps:txbx>
                      <wps:bodyPr vert="horz" wrap="square" anchor="t" anchorCtr="0" upright="1"/>
                    </wps:wsp>
                  </a:graphicData>
                </a:graphic>
              </wp:anchor>
            </w:drawing>
          </mc:Choice>
          <mc:Fallback>
            <w:pict>
              <v:roundrect id="_x0000_s1026" o:spid="_x0000_s1026" o:spt="2" style="position:absolute;left:0pt;margin-left:1.55pt;margin-top:13.1pt;height:152.5pt;width:224pt;mso-wrap-distance-bottom:0pt;mso-wrap-distance-top:0pt;z-index:251660288;mso-width-relative:page;mso-height-relative:page;" fillcolor="#FFFFFF" filled="t" stroked="t" coordsize="21600,21600" arcsize="0.166666666666667" o:gfxdata="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d2dLdtQAAAAIAQAADwAAAAAAAAABACAA&#10;AAAiAAAAZHJzL2Rvd25yZXYueG1sUEsBAhQAFAAAAAgAh07iQDDh7R9KAgAAmAQAAA4AAAAAAAAA&#10;AQAgAAAAIwEAAGRycy9lMm9Eb2MueG1sUEsFBgAAAAAGAAYAWQEAAN8FAAAAAA==&#10;">
                <v:fill on="t" focussize="0,0"/>
                <v:stroke color="#000000" joinstyle="round"/>
                <v:imagedata o:title=""/>
                <o:lock v:ext="edit" aspectratio="f"/>
                <v:textbox>
                  <w:txbxContent>
                    <w:p w14:paraId="14483126">
                      <w:r>
                        <w:rPr>
                          <w:rFonts w:hint="eastAsia"/>
                          <w:b/>
                        </w:rPr>
                        <w:t>法定代表人身份证复印件（正面）粘贴处</w:t>
                      </w:r>
                    </w:p>
                  </w:txbxContent>
                </v:textbox>
                <w10:wrap type="topAndBottom"/>
              </v:roundrect>
            </w:pict>
          </mc:Fallback>
        </mc:AlternateContent>
      </w:r>
      <w:r>
        <w:rPr>
          <w:rFonts w:ascii="宋体" w:hAnsi="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3029585</wp:posOffset>
                </wp:positionH>
                <wp:positionV relativeFrom="paragraph">
                  <wp:posOffset>153670</wp:posOffset>
                </wp:positionV>
                <wp:extent cx="2806700" cy="1917700"/>
                <wp:effectExtent l="4445" t="4445" r="8255" b="20955"/>
                <wp:wrapNone/>
                <wp:docPr id="10" name="圆角矩形 10"/>
                <wp:cNvGraphicFramePr/>
                <a:graphic xmlns:a="http://schemas.openxmlformats.org/drawingml/2006/main">
                  <a:graphicData uri="http://schemas.microsoft.com/office/word/2010/wordprocessingShape">
                    <wps:wsp>
                      <wps:cNvSpPr/>
                      <wps:spPr>
                        <a:xfrm>
                          <a:off x="0" y="0"/>
                          <a:ext cx="2806700" cy="1917700"/>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txbx>
                        <w:txbxContent>
                          <w:p w14:paraId="4DED98F3">
                            <w:r>
                              <w:rPr>
                                <w:rFonts w:hint="eastAsia"/>
                                <w:b/>
                              </w:rPr>
                              <w:t>法定代表人身份证复印件（反面）粘贴处</w:t>
                            </w:r>
                          </w:p>
                        </w:txbxContent>
                      </wps:txbx>
                      <wps:bodyPr vert="horz" wrap="square" anchor="t" anchorCtr="0" upright="1"/>
                    </wps:wsp>
                  </a:graphicData>
                </a:graphic>
              </wp:anchor>
            </w:drawing>
          </mc:Choice>
          <mc:Fallback>
            <w:pict>
              <v:roundrect id="_x0000_s1026" o:spid="_x0000_s1026" o:spt="2" style="position:absolute;left:0pt;margin-left:238.55pt;margin-top:12.1pt;height:151pt;width:221pt;z-index:251659264;mso-width-relative:page;mso-height-relative:page;" fillcolor="#FFFFFF" filled="t" stroked="t" coordsize="21600,21600" arcsize="0.166666666666667" o:gfxdata="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ksyd1tcAAAAKAQAADwAAAAAAAAABACAA&#10;AAAiAAAAZHJzL2Rvd25yZXYueG1sUEsBAhQAFAAAAAgAh07iQI59VVpHAgAAmgQAAA4AAAAAAAAA&#10;AQAgAAAAJgEAAGRycy9lMm9Eb2MueG1sUEsFBgAAAAAGAAYAWQEAAN8FAAAAAA==&#10;">
                <v:fill on="t" focussize="0,0"/>
                <v:stroke color="#000000" joinstyle="round"/>
                <v:imagedata o:title=""/>
                <o:lock v:ext="edit" aspectratio="f"/>
                <v:textbox>
                  <w:txbxContent>
                    <w:p w14:paraId="4DED98F3">
                      <w:r>
                        <w:rPr>
                          <w:rFonts w:hint="eastAsia"/>
                          <w:b/>
                        </w:rPr>
                        <w:t>法定代表人身份证复印件（反面）粘贴处</w:t>
                      </w:r>
                    </w:p>
                  </w:txbxContent>
                </v:textbox>
              </v:roundrect>
            </w:pict>
          </mc:Fallback>
        </mc:AlternateContent>
      </w:r>
      <w:r>
        <w:rPr>
          <w:rFonts w:hint="eastAsia" w:ascii="宋体" w:hAnsi="宋体" w:cs="宋体"/>
          <w:b/>
          <w:color w:val="auto"/>
          <w:highlight w:val="none"/>
        </w:rPr>
        <w:t xml:space="preserve">   </w:t>
      </w:r>
    </w:p>
    <w:p w14:paraId="27C82872">
      <w:pPr>
        <w:spacing w:line="360" w:lineRule="auto"/>
        <w:rPr>
          <w:rFonts w:ascii="宋体" w:hAnsi="宋体" w:cs="宋体"/>
          <w:color w:val="auto"/>
          <w:highlight w:val="none"/>
        </w:rPr>
      </w:pPr>
    </w:p>
    <w:p w14:paraId="687F992F">
      <w:pPr>
        <w:spacing w:line="360" w:lineRule="auto"/>
        <w:rPr>
          <w:rFonts w:ascii="宋体" w:hAnsi="宋体" w:cs="宋体"/>
          <w:color w:val="auto"/>
          <w:highlight w:val="none"/>
        </w:rPr>
      </w:pPr>
      <w:r>
        <w:rPr>
          <w:rFonts w:hint="eastAsia" w:ascii="宋体" w:hAnsi="宋体" w:cs="宋体"/>
          <w:color w:val="auto"/>
          <w:highlight w:val="none"/>
        </w:rPr>
        <w:t>参选人（单位公章）：</w:t>
      </w:r>
    </w:p>
    <w:p w14:paraId="4E7CADE1">
      <w:pPr>
        <w:spacing w:line="360" w:lineRule="auto"/>
        <w:rPr>
          <w:rFonts w:ascii="宋体" w:hAnsi="宋体" w:cs="宋体"/>
          <w:color w:val="auto"/>
          <w:highlight w:val="none"/>
        </w:rPr>
      </w:pPr>
      <w:r>
        <w:rPr>
          <w:rFonts w:hint="eastAsia" w:ascii="宋体" w:hAnsi="宋体" w:cs="宋体"/>
          <w:color w:val="auto"/>
          <w:highlight w:val="none"/>
        </w:rPr>
        <w:t>地   址：</w:t>
      </w:r>
    </w:p>
    <w:p w14:paraId="63368632">
      <w:pPr>
        <w:spacing w:line="360" w:lineRule="auto"/>
        <w:rPr>
          <w:rFonts w:ascii="宋体" w:hAnsi="宋体" w:cs="宋体"/>
          <w:color w:val="auto"/>
          <w:highlight w:val="none"/>
        </w:rPr>
      </w:pPr>
    </w:p>
    <w:p w14:paraId="2F3E751C">
      <w:pPr>
        <w:spacing w:line="360" w:lineRule="auto"/>
        <w:rPr>
          <w:rFonts w:ascii="宋体" w:hAnsi="宋体" w:cs="宋体"/>
          <w:color w:val="auto"/>
          <w:highlight w:val="none"/>
        </w:rPr>
      </w:pPr>
      <w:r>
        <w:rPr>
          <w:rFonts w:hint="eastAsia" w:ascii="宋体" w:hAnsi="宋体" w:cs="宋体"/>
          <w:color w:val="auto"/>
          <w:highlight w:val="none"/>
        </w:rPr>
        <w:t>法定代表人（签字或盖章）：</w:t>
      </w:r>
    </w:p>
    <w:p w14:paraId="2F48496F">
      <w:pPr>
        <w:spacing w:line="360" w:lineRule="auto"/>
        <w:rPr>
          <w:rFonts w:ascii="宋体" w:hAnsi="宋体" w:cs="宋体"/>
          <w:color w:val="auto"/>
          <w:highlight w:val="none"/>
        </w:rPr>
      </w:pPr>
      <w:r>
        <w:rPr>
          <w:rFonts w:hint="eastAsia" w:ascii="宋体" w:hAnsi="宋体" w:cs="宋体"/>
          <w:color w:val="auto"/>
          <w:highlight w:val="none"/>
        </w:rPr>
        <w:t>联系电话（手机）：</w:t>
      </w:r>
    </w:p>
    <w:p w14:paraId="111B8622">
      <w:pPr>
        <w:spacing w:line="360" w:lineRule="auto"/>
        <w:rPr>
          <w:rFonts w:ascii="宋体" w:hAnsi="宋体" w:cs="宋体"/>
          <w:color w:val="auto"/>
          <w:highlight w:val="none"/>
        </w:rPr>
      </w:pPr>
      <w:r>
        <w:rPr>
          <w:rFonts w:hint="eastAsia" w:ascii="宋体" w:hAnsi="宋体" w:cs="宋体"/>
          <w:color w:val="auto"/>
          <w:highlight w:val="none"/>
        </w:rPr>
        <w:t>职   务：</w:t>
      </w:r>
    </w:p>
    <w:p w14:paraId="67D3656A">
      <w:pPr>
        <w:spacing w:line="360" w:lineRule="auto"/>
        <w:rPr>
          <w:rFonts w:ascii="宋体" w:hAnsi="宋体" w:cs="宋体"/>
          <w:color w:val="auto"/>
          <w:highlight w:val="none"/>
        </w:rPr>
      </w:pPr>
      <w:r>
        <w:rPr>
          <w:rFonts w:hint="eastAsia" w:ascii="宋体" w:hAnsi="宋体" w:cs="宋体"/>
          <w:color w:val="auto"/>
          <w:highlight w:val="none"/>
        </w:rPr>
        <w:br w:type="page"/>
      </w:r>
      <w:r>
        <w:rPr>
          <w:rFonts w:hint="eastAsia" w:ascii="宋体" w:hAnsi="宋体" w:cs="宋体"/>
          <w:color w:val="auto"/>
          <w:highlight w:val="none"/>
        </w:rPr>
        <w:t>5.2 法定代表人授权书格式</w:t>
      </w:r>
    </w:p>
    <w:p w14:paraId="5D95CDC6">
      <w:pPr>
        <w:pStyle w:val="12"/>
        <w:spacing w:line="360" w:lineRule="auto"/>
        <w:rPr>
          <w:rFonts w:hAnsi="宋体" w:cs="宋体"/>
          <w:color w:val="auto"/>
          <w:highlight w:val="none"/>
        </w:rPr>
      </w:pPr>
    </w:p>
    <w:p w14:paraId="20204B12">
      <w:pPr>
        <w:pStyle w:val="12"/>
        <w:spacing w:line="360" w:lineRule="auto"/>
        <w:jc w:val="center"/>
        <w:rPr>
          <w:rFonts w:hAnsi="宋体" w:cs="宋体"/>
          <w:b/>
          <w:color w:val="auto"/>
          <w:highlight w:val="none"/>
        </w:rPr>
      </w:pPr>
      <w:r>
        <w:rPr>
          <w:rFonts w:hint="eastAsia" w:hAnsi="宋体" w:cs="宋体"/>
          <w:b/>
          <w:color w:val="auto"/>
          <w:highlight w:val="none"/>
        </w:rPr>
        <w:t>法定代表人授权书</w:t>
      </w:r>
    </w:p>
    <w:p w14:paraId="6318CD9B">
      <w:pPr>
        <w:pStyle w:val="12"/>
        <w:spacing w:line="360" w:lineRule="auto"/>
        <w:rPr>
          <w:rFonts w:hAnsi="宋体" w:cs="宋体"/>
          <w:color w:val="auto"/>
          <w:highlight w:val="none"/>
        </w:rPr>
      </w:pPr>
    </w:p>
    <w:p w14:paraId="685BFFBE">
      <w:pPr>
        <w:pStyle w:val="12"/>
        <w:spacing w:line="360" w:lineRule="auto"/>
        <w:rPr>
          <w:rFonts w:hAnsi="宋体" w:cs="宋体"/>
          <w:b/>
          <w:color w:val="auto"/>
          <w:highlight w:val="none"/>
        </w:rPr>
      </w:pPr>
      <w:r>
        <w:rPr>
          <w:rFonts w:hint="eastAsia" w:hAnsi="宋体" w:cs="宋体"/>
          <w:color w:val="auto"/>
          <w:highlight w:val="none"/>
        </w:rPr>
        <w:t>致：广州中经招标有限公司</w:t>
      </w:r>
    </w:p>
    <w:p w14:paraId="5672CCBF">
      <w:pPr>
        <w:pStyle w:val="12"/>
        <w:spacing w:line="360" w:lineRule="auto"/>
        <w:ind w:firstLine="420" w:firstLineChars="200"/>
        <w:rPr>
          <w:rFonts w:hAnsi="宋体" w:cs="宋体"/>
          <w:color w:val="auto"/>
          <w:highlight w:val="none"/>
        </w:rPr>
      </w:pPr>
      <w:r>
        <w:rPr>
          <w:rFonts w:hint="eastAsia" w:hAnsi="宋体" w:cs="宋体"/>
          <w:color w:val="auto"/>
          <w:highlight w:val="none"/>
        </w:rPr>
        <w:t>本授权书声明：</w:t>
      </w:r>
      <w:r>
        <w:rPr>
          <w:rFonts w:hint="eastAsia" w:hAnsi="宋体" w:cs="宋体"/>
          <w:color w:val="auto"/>
          <w:highlight w:val="none"/>
          <w:u w:val="single"/>
        </w:rPr>
        <w:t xml:space="preserve"> </w:t>
      </w:r>
      <w:r>
        <w:rPr>
          <w:rFonts w:hint="eastAsia" w:hAnsi="宋体" w:cs="宋体"/>
          <w:color w:val="auto"/>
          <w:highlight w:val="none"/>
        </w:rPr>
        <w:t>是注册于</w:t>
      </w:r>
      <w:r>
        <w:rPr>
          <w:rFonts w:hint="eastAsia" w:hAnsi="宋体" w:cs="宋体"/>
          <w:i/>
          <w:color w:val="auto"/>
          <w:highlight w:val="none"/>
          <w:u w:val="single"/>
        </w:rPr>
        <w:t xml:space="preserve">（国家或地区）   </w:t>
      </w:r>
      <w:r>
        <w:rPr>
          <w:rFonts w:hint="eastAsia" w:hAnsi="宋体" w:cs="宋体"/>
          <w:color w:val="auto"/>
          <w:highlight w:val="none"/>
        </w:rPr>
        <w:t>的</w:t>
      </w:r>
      <w:r>
        <w:rPr>
          <w:rFonts w:hint="eastAsia" w:hAnsi="宋体" w:cs="宋体"/>
          <w:color w:val="auto"/>
          <w:highlight w:val="none"/>
          <w:u w:val="single"/>
        </w:rPr>
        <w:t xml:space="preserve"> </w:t>
      </w:r>
      <w:r>
        <w:rPr>
          <w:rFonts w:hint="eastAsia" w:hAnsi="宋体" w:cs="宋体"/>
          <w:i/>
          <w:color w:val="auto"/>
          <w:highlight w:val="none"/>
          <w:u w:val="single"/>
        </w:rPr>
        <w:t xml:space="preserve">（参选人名称）  </w:t>
      </w:r>
      <w:r>
        <w:rPr>
          <w:rFonts w:hint="eastAsia" w:hAnsi="宋体" w:cs="宋体"/>
          <w:color w:val="auto"/>
          <w:highlight w:val="none"/>
        </w:rPr>
        <w:t>的法定代表人，现任职务</w:t>
      </w:r>
      <w:r>
        <w:rPr>
          <w:rFonts w:hint="eastAsia" w:hAnsi="宋体" w:cs="宋体"/>
          <w:color w:val="auto"/>
          <w:highlight w:val="none"/>
          <w:u w:val="single"/>
        </w:rPr>
        <w:t xml:space="preserve">   </w:t>
      </w:r>
      <w:r>
        <w:rPr>
          <w:rFonts w:hint="eastAsia" w:hAnsi="宋体" w:cs="宋体"/>
          <w:color w:val="auto"/>
          <w:highlight w:val="none"/>
        </w:rPr>
        <w:t>，有效证件号码：</w:t>
      </w:r>
      <w:r>
        <w:rPr>
          <w:rFonts w:hint="eastAsia" w:hAnsi="宋体" w:cs="宋体"/>
          <w:color w:val="auto"/>
          <w:highlight w:val="none"/>
          <w:u w:val="single"/>
        </w:rPr>
        <w:t xml:space="preserve">  </w:t>
      </w:r>
      <w:r>
        <w:rPr>
          <w:rFonts w:hint="eastAsia" w:hAnsi="宋体" w:cs="宋体"/>
          <w:color w:val="auto"/>
          <w:highlight w:val="none"/>
        </w:rPr>
        <w:t>。现授权</w:t>
      </w:r>
      <w:r>
        <w:rPr>
          <w:rFonts w:hint="eastAsia" w:hAnsi="宋体" w:cs="宋体"/>
          <w:i/>
          <w:color w:val="auto"/>
          <w:highlight w:val="none"/>
          <w:u w:val="single"/>
        </w:rPr>
        <w:t xml:space="preserve">（姓名、职务） </w:t>
      </w:r>
      <w:r>
        <w:rPr>
          <w:rFonts w:hint="eastAsia" w:hAnsi="宋体" w:cs="宋体"/>
          <w:color w:val="auto"/>
          <w:highlight w:val="none"/>
        </w:rPr>
        <w:t>作为我公司的全权代理人，就项目采购（项目编号：</w:t>
      </w:r>
      <w:r>
        <w:rPr>
          <w:rFonts w:hint="eastAsia" w:hAnsi="宋体" w:cs="宋体"/>
          <w:color w:val="auto"/>
          <w:highlight w:val="none"/>
          <w:u w:val="single"/>
        </w:rPr>
        <w:t xml:space="preserve">  </w:t>
      </w:r>
      <w:r>
        <w:rPr>
          <w:rFonts w:hint="eastAsia" w:hAnsi="宋体" w:cs="宋体"/>
          <w:color w:val="auto"/>
          <w:highlight w:val="none"/>
        </w:rPr>
        <w:t>）的参选和合同执行，以我方的名义处理一切与之有关的事宜。</w:t>
      </w:r>
    </w:p>
    <w:p w14:paraId="049A84A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本授权书于年月日签字生效，特此声明。</w:t>
      </w:r>
    </w:p>
    <w:p w14:paraId="32374610">
      <w:pPr>
        <w:pStyle w:val="22"/>
        <w:spacing w:line="360" w:lineRule="auto"/>
        <w:ind w:firstLine="210"/>
        <w:rPr>
          <w:rFonts w:ascii="宋体" w:hAnsi="宋体" w:cs="宋体"/>
          <w:color w:val="auto"/>
          <w:highlight w:val="none"/>
        </w:rPr>
      </w:pPr>
      <w:r>
        <w:rPr>
          <w:rFonts w:ascii="宋体" w:hAnsi="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2988310</wp:posOffset>
                </wp:positionH>
                <wp:positionV relativeFrom="paragraph">
                  <wp:posOffset>34290</wp:posOffset>
                </wp:positionV>
                <wp:extent cx="2616200" cy="1504950"/>
                <wp:effectExtent l="4445" t="4445" r="8255" b="14605"/>
                <wp:wrapNone/>
                <wp:docPr id="11" name="圆角矩形 11"/>
                <wp:cNvGraphicFramePr/>
                <a:graphic xmlns:a="http://schemas.openxmlformats.org/drawingml/2006/main">
                  <a:graphicData uri="http://schemas.microsoft.com/office/word/2010/wordprocessingShape">
                    <wps:wsp>
                      <wps:cNvSpPr/>
                      <wps:spPr>
                        <a:xfrm>
                          <a:off x="0" y="0"/>
                          <a:ext cx="2616200" cy="1504950"/>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txbx>
                        <w:txbxContent>
                          <w:p w14:paraId="39489EB0">
                            <w:r>
                              <w:rPr>
                                <w:rFonts w:hint="eastAsia"/>
                                <w:b/>
                              </w:rPr>
                              <w:t>授权代表身份证复印件（反面）粘贴处</w:t>
                            </w:r>
                          </w:p>
                        </w:txbxContent>
                      </wps:txbx>
                      <wps:bodyPr vert="horz" wrap="square" anchor="t" anchorCtr="0" upright="1"/>
                    </wps:wsp>
                  </a:graphicData>
                </a:graphic>
              </wp:anchor>
            </w:drawing>
          </mc:Choice>
          <mc:Fallback>
            <w:pict>
              <v:roundrect id="_x0000_s1026" o:spid="_x0000_s1026" o:spt="2" style="position:absolute;left:0pt;margin-left:235.3pt;margin-top:2.7pt;height:118.5pt;width:206pt;z-index:251662336;mso-width-relative:page;mso-height-relative:page;" fillcolor="#FFFFFF" filled="t" stroked="t" coordsize="21600,21600" arcsize="0.166666666666667" o:gfxdata="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pKhMg1QAAAAkBAAAPAAAAAAAAAAEAIAAA&#10;ACIAAABkcnMvZG93bnJldi54bWxQSwECFAAUAAAACACHTuJAU6P6a0gCAACaBAAADgAAAAAAAAAB&#10;ACAAAAAkAQAAZHJzL2Uyb0RvYy54bWxQSwUGAAAAAAYABgBZAQAA3gUAAAAA&#10;">
                <v:fill on="t" focussize="0,0"/>
                <v:stroke color="#000000" joinstyle="round"/>
                <v:imagedata o:title=""/>
                <o:lock v:ext="edit" aspectratio="f"/>
                <v:textbox>
                  <w:txbxContent>
                    <w:p w14:paraId="39489EB0">
                      <w:r>
                        <w:rPr>
                          <w:rFonts w:hint="eastAsia"/>
                          <w:b/>
                        </w:rPr>
                        <w:t>授权代表身份证复印件（反面）粘贴处</w:t>
                      </w:r>
                    </w:p>
                  </w:txbxContent>
                </v:textbox>
              </v:roundrect>
            </w:pict>
          </mc:Fallback>
        </mc:AlternateContent>
      </w:r>
      <w:r>
        <w:rPr>
          <w:rFonts w:ascii="宋体" w:hAnsi="宋体" w:cs="宋体"/>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38735</wp:posOffset>
                </wp:positionH>
                <wp:positionV relativeFrom="paragraph">
                  <wp:posOffset>12065</wp:posOffset>
                </wp:positionV>
                <wp:extent cx="2553335" cy="1517650"/>
                <wp:effectExtent l="4445" t="4445" r="13970" b="20955"/>
                <wp:wrapNone/>
                <wp:docPr id="12" name="圆角矩形 12"/>
                <wp:cNvGraphicFramePr/>
                <a:graphic xmlns:a="http://schemas.openxmlformats.org/drawingml/2006/main">
                  <a:graphicData uri="http://schemas.microsoft.com/office/word/2010/wordprocessingShape">
                    <wps:wsp>
                      <wps:cNvSpPr/>
                      <wps:spPr>
                        <a:xfrm>
                          <a:off x="0" y="0"/>
                          <a:ext cx="2553335" cy="1517650"/>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txbx>
                        <w:txbxContent>
                          <w:p w14:paraId="623E1C88">
                            <w:r>
                              <w:rPr>
                                <w:rFonts w:hint="eastAsia"/>
                                <w:b/>
                              </w:rPr>
                              <w:t>授权代表身份证复印件（正面）粘贴处</w:t>
                            </w:r>
                          </w:p>
                        </w:txbxContent>
                      </wps:txbx>
                      <wps:bodyPr vert="horz" wrap="square" anchor="t" anchorCtr="0" upright="1"/>
                    </wps:wsp>
                  </a:graphicData>
                </a:graphic>
              </wp:anchor>
            </w:drawing>
          </mc:Choice>
          <mc:Fallback>
            <w:pict>
              <v:roundrect id="_x0000_s1026" o:spid="_x0000_s1026" o:spt="2" style="position:absolute;left:0pt;margin-left:3.05pt;margin-top:0.95pt;height:119.5pt;width:201.05pt;z-index:251661312;mso-width-relative:page;mso-height-relative:page;" fillcolor="#FFFFFF" filled="t" stroked="t" coordsize="21600,21600" arcsize="0.166666666666667" o:gfxdata="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OmkwWLSAAAABwEAAA8AAAAAAAAAAQAgAAAA&#10;IgAAAGRycy9kb3ducmV2LnhtbFBLAQIUABQAAAAIAIdO4kA1C0hVSgIAAJoEAAAOAAAAAAAAAAEA&#10;IAAAACEBAABkcnMvZTJvRG9jLnhtbFBLBQYAAAAABgAGAFkBAADdBQAAAAA=&#10;">
                <v:fill on="t" focussize="0,0"/>
                <v:stroke color="#000000" joinstyle="round"/>
                <v:imagedata o:title=""/>
                <o:lock v:ext="edit" aspectratio="f"/>
                <v:textbox>
                  <w:txbxContent>
                    <w:p w14:paraId="623E1C88">
                      <w:r>
                        <w:rPr>
                          <w:rFonts w:hint="eastAsia"/>
                          <w:b/>
                        </w:rPr>
                        <w:t>授权代表身份证复印件（正面）粘贴处</w:t>
                      </w:r>
                    </w:p>
                  </w:txbxContent>
                </v:textbox>
              </v:roundrect>
            </w:pict>
          </mc:Fallback>
        </mc:AlternateContent>
      </w:r>
    </w:p>
    <w:p w14:paraId="415727C2">
      <w:pPr>
        <w:pStyle w:val="22"/>
        <w:spacing w:line="360" w:lineRule="auto"/>
        <w:ind w:firstLine="210"/>
        <w:rPr>
          <w:rFonts w:ascii="宋体" w:hAnsi="宋体" w:cs="宋体"/>
          <w:color w:val="auto"/>
          <w:highlight w:val="none"/>
        </w:rPr>
      </w:pPr>
    </w:p>
    <w:p w14:paraId="29EA67BA">
      <w:pPr>
        <w:spacing w:line="360" w:lineRule="auto"/>
        <w:rPr>
          <w:rFonts w:ascii="宋体" w:hAnsi="宋体" w:cs="宋体"/>
          <w:color w:val="auto"/>
          <w:highlight w:val="none"/>
        </w:rPr>
      </w:pPr>
    </w:p>
    <w:p w14:paraId="52E5D97D">
      <w:pPr>
        <w:spacing w:line="360" w:lineRule="auto"/>
        <w:rPr>
          <w:rFonts w:ascii="宋体" w:hAnsi="宋体" w:cs="宋体"/>
          <w:color w:val="auto"/>
          <w:highlight w:val="none"/>
        </w:rPr>
      </w:pPr>
      <w:r>
        <w:rPr>
          <w:rFonts w:hint="eastAsia" w:ascii="宋体" w:hAnsi="宋体" w:cs="宋体"/>
          <w:color w:val="auto"/>
          <w:highlight w:val="none"/>
        </w:rPr>
        <w:t xml:space="preserve"> </w:t>
      </w:r>
    </w:p>
    <w:p w14:paraId="0DBC02B3">
      <w:pPr>
        <w:spacing w:line="360" w:lineRule="auto"/>
        <w:ind w:firstLine="420" w:firstLineChars="200"/>
        <w:rPr>
          <w:rFonts w:ascii="宋体" w:hAnsi="宋体" w:cs="宋体"/>
          <w:color w:val="auto"/>
          <w:highlight w:val="none"/>
        </w:rPr>
      </w:pPr>
    </w:p>
    <w:p w14:paraId="50B583DB">
      <w:pPr>
        <w:spacing w:line="360" w:lineRule="auto"/>
        <w:ind w:firstLine="420" w:firstLineChars="200"/>
        <w:rPr>
          <w:rFonts w:ascii="宋体" w:hAnsi="宋体" w:cs="宋体"/>
          <w:color w:val="auto"/>
          <w:highlight w:val="none"/>
        </w:rPr>
      </w:pPr>
    </w:p>
    <w:p w14:paraId="65D9C76D">
      <w:pPr>
        <w:spacing w:line="360" w:lineRule="auto"/>
        <w:ind w:firstLine="420" w:firstLineChars="200"/>
        <w:rPr>
          <w:rFonts w:ascii="宋体" w:hAnsi="宋体" w:cs="宋体"/>
          <w:color w:val="auto"/>
          <w:highlight w:val="none"/>
        </w:rPr>
      </w:pPr>
    </w:p>
    <w:p w14:paraId="0774A38B">
      <w:pPr>
        <w:spacing w:line="240" w:lineRule="auto"/>
        <w:rPr>
          <w:rFonts w:ascii="宋体" w:hAnsi="宋体" w:cs="宋体"/>
          <w:color w:val="auto"/>
          <w:highlight w:val="none"/>
        </w:rPr>
      </w:pPr>
      <w:r>
        <w:rPr>
          <w:rFonts w:hint="eastAsia" w:ascii="宋体" w:hAnsi="宋体" w:cs="宋体"/>
          <w:color w:val="auto"/>
          <w:highlight w:val="none"/>
        </w:rPr>
        <w:t>参选人（单位公章）：</w:t>
      </w:r>
    </w:p>
    <w:p w14:paraId="397F6D1B">
      <w:pPr>
        <w:spacing w:line="240" w:lineRule="auto"/>
        <w:rPr>
          <w:rFonts w:ascii="宋体" w:hAnsi="宋体" w:cs="宋体"/>
          <w:color w:val="auto"/>
          <w:highlight w:val="none"/>
        </w:rPr>
      </w:pPr>
      <w:r>
        <w:rPr>
          <w:rFonts w:hint="eastAsia" w:ascii="宋体" w:hAnsi="宋体" w:cs="宋体"/>
          <w:color w:val="auto"/>
          <w:highlight w:val="none"/>
        </w:rPr>
        <w:t>地址：</w:t>
      </w:r>
    </w:p>
    <w:p w14:paraId="37F68F47">
      <w:pPr>
        <w:spacing w:line="240" w:lineRule="auto"/>
        <w:rPr>
          <w:rFonts w:ascii="宋体" w:hAnsi="宋体" w:cs="宋体"/>
          <w:color w:val="auto"/>
          <w:highlight w:val="none"/>
        </w:rPr>
      </w:pPr>
      <w:r>
        <w:rPr>
          <w:rFonts w:hint="eastAsia" w:ascii="宋体" w:hAnsi="宋体" w:cs="宋体"/>
          <w:color w:val="auto"/>
          <w:highlight w:val="none"/>
        </w:rPr>
        <w:t>法定代表人（签字或盖章）：</w:t>
      </w:r>
    </w:p>
    <w:p w14:paraId="3E35869D">
      <w:pPr>
        <w:spacing w:line="240" w:lineRule="auto"/>
        <w:rPr>
          <w:rFonts w:ascii="宋体" w:hAnsi="宋体" w:cs="宋体"/>
          <w:color w:val="auto"/>
          <w:highlight w:val="none"/>
        </w:rPr>
      </w:pPr>
      <w:r>
        <w:rPr>
          <w:rFonts w:hint="eastAsia" w:ascii="宋体" w:hAnsi="宋体" w:cs="宋体"/>
          <w:color w:val="auto"/>
          <w:highlight w:val="none"/>
        </w:rPr>
        <w:t>职务：</w:t>
      </w:r>
    </w:p>
    <w:p w14:paraId="586C8A68">
      <w:pPr>
        <w:spacing w:line="240" w:lineRule="auto"/>
        <w:rPr>
          <w:rFonts w:ascii="宋体" w:hAnsi="宋体" w:cs="宋体"/>
          <w:color w:val="auto"/>
          <w:highlight w:val="none"/>
        </w:rPr>
      </w:pPr>
      <w:r>
        <w:rPr>
          <w:rFonts w:hint="eastAsia" w:ascii="宋体" w:hAnsi="宋体" w:cs="宋体"/>
          <w:color w:val="auto"/>
          <w:highlight w:val="none"/>
        </w:rPr>
        <w:t>被授权人（签字或盖章）：</w:t>
      </w:r>
    </w:p>
    <w:p w14:paraId="25F78215">
      <w:pPr>
        <w:spacing w:line="240" w:lineRule="auto"/>
        <w:rPr>
          <w:rFonts w:ascii="宋体" w:hAnsi="宋体" w:cs="宋体"/>
          <w:color w:val="auto"/>
          <w:highlight w:val="none"/>
        </w:rPr>
      </w:pPr>
      <w:r>
        <w:rPr>
          <w:rFonts w:hint="eastAsia" w:ascii="宋体" w:hAnsi="宋体" w:cs="宋体"/>
          <w:color w:val="auto"/>
          <w:highlight w:val="none"/>
        </w:rPr>
        <w:t>联系电话（手机）：</w:t>
      </w:r>
    </w:p>
    <w:p w14:paraId="305D86CC">
      <w:pPr>
        <w:tabs>
          <w:tab w:val="left" w:pos="2041"/>
        </w:tabs>
        <w:spacing w:line="240" w:lineRule="auto"/>
        <w:rPr>
          <w:rFonts w:ascii="宋体" w:hAnsi="宋体" w:cs="宋体"/>
          <w:color w:val="auto"/>
          <w:highlight w:val="none"/>
        </w:rPr>
      </w:pPr>
      <w:r>
        <w:rPr>
          <w:rFonts w:hint="eastAsia" w:ascii="宋体" w:hAnsi="宋体" w:cs="宋体"/>
          <w:color w:val="auto"/>
          <w:highlight w:val="none"/>
        </w:rPr>
        <w:t>职务：</w:t>
      </w:r>
    </w:p>
    <w:p w14:paraId="347028E8">
      <w:pPr>
        <w:tabs>
          <w:tab w:val="left" w:pos="2041"/>
        </w:tabs>
        <w:spacing w:line="240" w:lineRule="auto"/>
        <w:rPr>
          <w:rFonts w:ascii="宋体" w:hAnsi="宋体" w:cs="宋体"/>
          <w:color w:val="auto"/>
          <w:highlight w:val="none"/>
        </w:rPr>
      </w:pPr>
    </w:p>
    <w:p w14:paraId="33768323">
      <w:pPr>
        <w:spacing w:line="240" w:lineRule="auto"/>
        <w:rPr>
          <w:rFonts w:ascii="宋体" w:hAnsi="宋体" w:cs="宋体"/>
          <w:color w:val="auto"/>
          <w:highlight w:val="none"/>
        </w:rPr>
      </w:pPr>
      <w:r>
        <w:rPr>
          <w:rFonts w:hint="eastAsia" w:ascii="宋体" w:hAnsi="宋体" w:cs="宋体"/>
          <w:color w:val="auto"/>
          <w:highlight w:val="none"/>
        </w:rPr>
        <w:t>说明：</w:t>
      </w:r>
    </w:p>
    <w:p w14:paraId="335744C0">
      <w:pPr>
        <w:spacing w:line="240" w:lineRule="auto"/>
        <w:rPr>
          <w:rFonts w:ascii="宋体" w:hAnsi="宋体" w:cs="宋体"/>
          <w:color w:val="auto"/>
          <w:highlight w:val="none"/>
        </w:rPr>
      </w:pPr>
      <w:r>
        <w:rPr>
          <w:rFonts w:hint="eastAsia" w:ascii="宋体" w:hAnsi="宋体" w:cs="宋体"/>
          <w:color w:val="auto"/>
          <w:highlight w:val="none"/>
        </w:rPr>
        <w:t>1）法定代表人亲自签署“参选函”的，则无需提交本表。</w:t>
      </w:r>
    </w:p>
    <w:p w14:paraId="2E035FCF">
      <w:pPr>
        <w:spacing w:line="240" w:lineRule="auto"/>
        <w:rPr>
          <w:rFonts w:ascii="宋体" w:hAnsi="宋体" w:cs="宋体"/>
          <w:color w:val="auto"/>
          <w:highlight w:val="none"/>
        </w:rPr>
      </w:pPr>
      <w:r>
        <w:rPr>
          <w:rFonts w:hint="eastAsia" w:ascii="宋体" w:hAnsi="宋体" w:cs="宋体"/>
          <w:color w:val="auto"/>
          <w:highlight w:val="none"/>
        </w:rPr>
        <w:t>2）“参选函”由委托代理人签署的，须提交本授权委托证明书（要加盖单位公章及法定代表人的亲笔签字或签章，缺一不可）。</w:t>
      </w:r>
    </w:p>
    <w:p w14:paraId="034CCC73">
      <w:pPr>
        <w:spacing w:line="240" w:lineRule="auto"/>
        <w:rPr>
          <w:rFonts w:ascii="宋体" w:hAnsi="宋体" w:cs="宋体"/>
          <w:color w:val="auto"/>
          <w:highlight w:val="none"/>
        </w:rPr>
      </w:pPr>
      <w:r>
        <w:rPr>
          <w:rFonts w:hint="eastAsia" w:ascii="宋体" w:hAnsi="宋体" w:cs="宋体"/>
          <w:color w:val="auto"/>
          <w:highlight w:val="none"/>
        </w:rPr>
        <w:t>3）非法人参选的，负责人指《营业执照》上载明的负责人。</w:t>
      </w:r>
    </w:p>
    <w:p w14:paraId="7DE02580">
      <w:pPr>
        <w:spacing w:line="360" w:lineRule="auto"/>
        <w:rPr>
          <w:rFonts w:ascii="宋体" w:hAnsi="宋体" w:cs="宋体"/>
          <w:color w:val="auto"/>
          <w:highlight w:val="none"/>
        </w:rPr>
      </w:pPr>
    </w:p>
    <w:p w14:paraId="141D6E0F">
      <w:pPr>
        <w:spacing w:line="360" w:lineRule="auto"/>
        <w:rPr>
          <w:rFonts w:ascii="宋体" w:hAnsi="宋体" w:cs="宋体"/>
          <w:color w:val="auto"/>
          <w:highlight w:val="none"/>
        </w:rPr>
      </w:pPr>
      <w:r>
        <w:rPr>
          <w:rFonts w:hint="eastAsia" w:ascii="宋体" w:hAnsi="宋体" w:cs="宋体"/>
          <w:color w:val="auto"/>
          <w:highlight w:val="none"/>
        </w:rPr>
        <w:t>5.</w:t>
      </w:r>
      <w:r>
        <w:rPr>
          <w:rFonts w:hint="eastAsia" w:ascii="宋体" w:hAnsi="宋体" w:cs="宋体"/>
          <w:color w:val="auto"/>
          <w:highlight w:val="none"/>
          <w:lang w:val="en-US" w:eastAsia="zh-CN"/>
        </w:rPr>
        <w:t>3</w:t>
      </w:r>
      <w:r>
        <w:rPr>
          <w:rFonts w:hint="eastAsia" w:ascii="宋体" w:hAnsi="宋体" w:cs="宋体"/>
          <w:color w:val="auto"/>
          <w:highlight w:val="none"/>
        </w:rPr>
        <w:t xml:space="preserve"> 名称变更</w:t>
      </w:r>
    </w:p>
    <w:p w14:paraId="6E368FA7">
      <w:pPr>
        <w:pStyle w:val="12"/>
        <w:spacing w:line="360" w:lineRule="auto"/>
        <w:ind w:firstLine="420" w:firstLineChars="200"/>
        <w:rPr>
          <w:rFonts w:hAnsi="宋体" w:cs="宋体"/>
          <w:color w:val="auto"/>
          <w:highlight w:val="none"/>
        </w:rPr>
      </w:pPr>
      <w:r>
        <w:rPr>
          <w:rFonts w:hint="eastAsia" w:hAnsi="宋体" w:cs="宋体"/>
          <w:color w:val="auto"/>
          <w:highlight w:val="none"/>
        </w:rPr>
        <w:t>参选人如果有名称变更的，应提供由工商管理部门出具的变更证明文件。</w:t>
      </w:r>
    </w:p>
    <w:p w14:paraId="24402AAD">
      <w:pPr>
        <w:pStyle w:val="12"/>
        <w:spacing w:line="360" w:lineRule="auto"/>
        <w:rPr>
          <w:rFonts w:hAnsi="宋体" w:cs="宋体"/>
          <w:color w:val="auto"/>
          <w:highlight w:val="none"/>
        </w:rPr>
      </w:pPr>
    </w:p>
    <w:p w14:paraId="591C427C">
      <w:pPr>
        <w:pStyle w:val="12"/>
        <w:spacing w:line="360" w:lineRule="auto"/>
        <w:rPr>
          <w:rFonts w:hAnsi="宋体" w:cs="宋体"/>
          <w:color w:val="auto"/>
          <w:highlight w:val="none"/>
        </w:rPr>
      </w:pPr>
      <w:bookmarkStart w:id="1358" w:name="_Toc500260810"/>
      <w:bookmarkStart w:id="1359" w:name="_Toc510104794"/>
      <w:bookmarkStart w:id="1360" w:name="_Toc475578772"/>
      <w:bookmarkStart w:id="1361" w:name="_Toc475522383"/>
      <w:bookmarkStart w:id="1362" w:name="_Toc461608937"/>
      <w:bookmarkStart w:id="1363" w:name="_Toc508619368"/>
      <w:bookmarkStart w:id="1364" w:name="_Toc459708500"/>
      <w:bookmarkStart w:id="1365" w:name="_Toc511293860"/>
      <w:bookmarkStart w:id="1366" w:name="_Toc484599510"/>
      <w:bookmarkStart w:id="1367" w:name="_Toc458791451"/>
      <w:bookmarkStart w:id="1368" w:name="_Toc508036028"/>
      <w:r>
        <w:rPr>
          <w:rFonts w:hint="eastAsia" w:hAnsi="宋体" w:cs="宋体"/>
          <w:color w:val="auto"/>
          <w:highlight w:val="none"/>
        </w:rPr>
        <w:br w:type="page"/>
      </w:r>
    </w:p>
    <w:bookmarkEnd w:id="1358"/>
    <w:bookmarkEnd w:id="1359"/>
    <w:bookmarkEnd w:id="1360"/>
    <w:bookmarkEnd w:id="1361"/>
    <w:bookmarkEnd w:id="1362"/>
    <w:bookmarkEnd w:id="1363"/>
    <w:bookmarkEnd w:id="1364"/>
    <w:bookmarkEnd w:id="1365"/>
    <w:bookmarkEnd w:id="1366"/>
    <w:bookmarkEnd w:id="1367"/>
    <w:bookmarkEnd w:id="1368"/>
    <w:p w14:paraId="469ACCE5">
      <w:pPr>
        <w:pStyle w:val="4"/>
        <w:keepLines w:val="0"/>
        <w:widowControl w:val="0"/>
        <w:numPr>
          <w:ilvl w:val="0"/>
          <w:numId w:val="0"/>
        </w:numPr>
        <w:tabs>
          <w:tab w:val="left" w:pos="851"/>
        </w:tabs>
        <w:adjustRightInd/>
        <w:snapToGrid/>
        <w:spacing w:line="360" w:lineRule="auto"/>
        <w:ind w:left="360" w:leftChars="0" w:hanging="360" w:firstLineChars="0"/>
        <w:jc w:val="both"/>
        <w:rPr>
          <w:rFonts w:hAnsi="宋体" w:cs="宋体"/>
          <w:color w:val="auto"/>
          <w:sz w:val="21"/>
          <w:szCs w:val="21"/>
          <w:highlight w:val="none"/>
        </w:rPr>
      </w:pPr>
      <w:bookmarkStart w:id="1369" w:name="_Toc26107"/>
      <w:bookmarkStart w:id="1370" w:name="_Toc510104795"/>
      <w:bookmarkStart w:id="1371" w:name="_Toc475522384"/>
      <w:bookmarkStart w:id="1372" w:name="_Toc508619369"/>
      <w:bookmarkStart w:id="1373" w:name="_Toc475578773"/>
      <w:bookmarkStart w:id="1374" w:name="_Toc21517"/>
      <w:bookmarkStart w:id="1375" w:name="_Toc513112108"/>
      <w:bookmarkStart w:id="1376" w:name="_Toc500260811"/>
      <w:bookmarkStart w:id="1377" w:name="_Toc513630891"/>
      <w:bookmarkStart w:id="1378" w:name="_Toc15086"/>
      <w:bookmarkStart w:id="1379" w:name="_Toc484599511"/>
      <w:bookmarkStart w:id="1380" w:name="_Toc3073"/>
      <w:bookmarkStart w:id="1381" w:name="_Toc508036029"/>
      <w:bookmarkStart w:id="1382" w:name="_Toc522036010"/>
      <w:bookmarkStart w:id="1383" w:name="_Toc511293861"/>
      <w:bookmarkStart w:id="1384" w:name="_Toc458791452"/>
      <w:bookmarkStart w:id="1385" w:name="_Toc13343"/>
      <w:bookmarkStart w:id="1386" w:name="_Toc535418268"/>
      <w:bookmarkStart w:id="1387" w:name="_Toc22743"/>
      <w:bookmarkStart w:id="1388" w:name="_Toc459708501"/>
      <w:bookmarkStart w:id="1389" w:name="_Toc461608938"/>
      <w:bookmarkStart w:id="1390" w:name="_Toc528659818"/>
      <w:bookmarkStart w:id="1391" w:name="_Toc1740"/>
      <w:bookmarkStart w:id="1392" w:name="_Toc13228"/>
      <w:r>
        <w:rPr>
          <w:rFonts w:hint="eastAsia" w:hAnsi="宋体" w:cs="宋体"/>
          <w:b/>
          <w:bCs w:val="0"/>
          <w:color w:val="auto"/>
          <w:sz w:val="21"/>
          <w:szCs w:val="21"/>
          <w:highlight w:val="none"/>
          <w:lang w:val="en-US" w:eastAsia="zh-CN" w:bidi="ar-SA"/>
        </w:rPr>
        <w:t xml:space="preserve">6. </w:t>
      </w:r>
      <w:r>
        <w:rPr>
          <w:rFonts w:hint="eastAsia" w:hAnsi="宋体" w:cs="宋体"/>
          <w:b/>
          <w:bCs w:val="0"/>
          <w:color w:val="auto"/>
          <w:sz w:val="21"/>
          <w:szCs w:val="21"/>
          <w:highlight w:val="none"/>
        </w:rPr>
        <w:t>同类项目用户合作业绩介绍</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tbl>
      <w:tblPr>
        <w:tblStyle w:val="2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0"/>
        <w:gridCol w:w="1865"/>
        <w:gridCol w:w="1260"/>
        <w:gridCol w:w="1452"/>
        <w:gridCol w:w="1954"/>
        <w:gridCol w:w="2037"/>
      </w:tblGrid>
      <w:tr w14:paraId="2E41F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40" w:type="dxa"/>
            <w:tcBorders>
              <w:top w:val="single" w:color="auto" w:sz="6" w:space="0"/>
              <w:left w:val="single" w:color="auto" w:sz="6" w:space="0"/>
              <w:bottom w:val="single" w:color="auto" w:sz="6" w:space="0"/>
              <w:right w:val="single" w:color="auto" w:sz="6" w:space="0"/>
            </w:tcBorders>
            <w:vAlign w:val="center"/>
          </w:tcPr>
          <w:p w14:paraId="7FA734CB">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序号</w:t>
            </w:r>
          </w:p>
        </w:tc>
        <w:tc>
          <w:tcPr>
            <w:tcW w:w="1865" w:type="dxa"/>
            <w:tcBorders>
              <w:top w:val="single" w:color="auto" w:sz="6" w:space="0"/>
              <w:left w:val="single" w:color="auto" w:sz="6" w:space="0"/>
              <w:bottom w:val="single" w:color="auto" w:sz="6" w:space="0"/>
              <w:right w:val="single" w:color="auto" w:sz="6" w:space="0"/>
            </w:tcBorders>
            <w:vAlign w:val="center"/>
          </w:tcPr>
          <w:p w14:paraId="723BEF05">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合同名称</w:t>
            </w:r>
          </w:p>
        </w:tc>
        <w:tc>
          <w:tcPr>
            <w:tcW w:w="1260" w:type="dxa"/>
            <w:tcBorders>
              <w:top w:val="single" w:color="auto" w:sz="6" w:space="0"/>
              <w:left w:val="single" w:color="auto" w:sz="6" w:space="0"/>
              <w:bottom w:val="single" w:color="auto" w:sz="6" w:space="0"/>
              <w:right w:val="single" w:color="auto" w:sz="6" w:space="0"/>
            </w:tcBorders>
            <w:vAlign w:val="center"/>
          </w:tcPr>
          <w:p w14:paraId="763E7DF5">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合同总价（万元）</w:t>
            </w:r>
          </w:p>
        </w:tc>
        <w:tc>
          <w:tcPr>
            <w:tcW w:w="1452" w:type="dxa"/>
            <w:tcBorders>
              <w:top w:val="single" w:color="auto" w:sz="6" w:space="0"/>
              <w:left w:val="single" w:color="auto" w:sz="6" w:space="0"/>
              <w:bottom w:val="single" w:color="auto" w:sz="6" w:space="0"/>
              <w:right w:val="single" w:color="auto" w:sz="6" w:space="0"/>
            </w:tcBorders>
            <w:vAlign w:val="center"/>
          </w:tcPr>
          <w:p w14:paraId="04A3B628">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合同签订时间</w:t>
            </w:r>
          </w:p>
        </w:tc>
        <w:tc>
          <w:tcPr>
            <w:tcW w:w="1954" w:type="dxa"/>
            <w:tcBorders>
              <w:top w:val="single" w:color="auto" w:sz="6" w:space="0"/>
              <w:left w:val="single" w:color="auto" w:sz="6" w:space="0"/>
              <w:bottom w:val="single" w:color="auto" w:sz="6" w:space="0"/>
              <w:right w:val="single" w:color="auto" w:sz="6" w:space="0"/>
            </w:tcBorders>
            <w:vAlign w:val="center"/>
          </w:tcPr>
          <w:p w14:paraId="7C679A4B">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联系人、联系电话</w:t>
            </w:r>
          </w:p>
        </w:tc>
        <w:tc>
          <w:tcPr>
            <w:tcW w:w="2037" w:type="dxa"/>
            <w:tcBorders>
              <w:top w:val="single" w:color="auto" w:sz="6" w:space="0"/>
              <w:left w:val="single" w:color="auto" w:sz="6" w:space="0"/>
              <w:bottom w:val="single" w:color="auto" w:sz="6" w:space="0"/>
              <w:right w:val="single" w:color="auto" w:sz="6" w:space="0"/>
            </w:tcBorders>
            <w:vAlign w:val="center"/>
          </w:tcPr>
          <w:p w14:paraId="038FFDB4">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证明文件</w:t>
            </w:r>
          </w:p>
        </w:tc>
      </w:tr>
      <w:tr w14:paraId="37B0BE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540" w:type="dxa"/>
            <w:tcBorders>
              <w:top w:val="single" w:color="auto" w:sz="6" w:space="0"/>
              <w:left w:val="single" w:color="auto" w:sz="6" w:space="0"/>
              <w:bottom w:val="single" w:color="auto" w:sz="6" w:space="0"/>
              <w:right w:val="single" w:color="auto" w:sz="6" w:space="0"/>
            </w:tcBorders>
          </w:tcPr>
          <w:p w14:paraId="35FEE6E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1</w:t>
            </w:r>
          </w:p>
        </w:tc>
        <w:tc>
          <w:tcPr>
            <w:tcW w:w="1865" w:type="dxa"/>
            <w:tcBorders>
              <w:top w:val="single" w:color="auto" w:sz="6" w:space="0"/>
              <w:left w:val="single" w:color="auto" w:sz="6" w:space="0"/>
              <w:bottom w:val="single" w:color="auto" w:sz="6" w:space="0"/>
              <w:right w:val="single" w:color="auto" w:sz="6" w:space="0"/>
            </w:tcBorders>
          </w:tcPr>
          <w:p w14:paraId="1CF7B797">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260" w:type="dxa"/>
            <w:tcBorders>
              <w:top w:val="single" w:color="auto" w:sz="6" w:space="0"/>
              <w:left w:val="single" w:color="auto" w:sz="6" w:space="0"/>
              <w:bottom w:val="single" w:color="auto" w:sz="6" w:space="0"/>
              <w:right w:val="single" w:color="auto" w:sz="6" w:space="0"/>
            </w:tcBorders>
          </w:tcPr>
          <w:p w14:paraId="2CEAE803">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452" w:type="dxa"/>
            <w:tcBorders>
              <w:top w:val="single" w:color="auto" w:sz="6" w:space="0"/>
              <w:left w:val="single" w:color="auto" w:sz="6" w:space="0"/>
              <w:bottom w:val="single" w:color="auto" w:sz="6" w:space="0"/>
              <w:right w:val="single" w:color="auto" w:sz="6" w:space="0"/>
            </w:tcBorders>
          </w:tcPr>
          <w:p w14:paraId="0DDA8546">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954" w:type="dxa"/>
            <w:tcBorders>
              <w:top w:val="single" w:color="auto" w:sz="6" w:space="0"/>
              <w:left w:val="single" w:color="auto" w:sz="6" w:space="0"/>
              <w:bottom w:val="single" w:color="auto" w:sz="6" w:space="0"/>
              <w:right w:val="single" w:color="auto" w:sz="6" w:space="0"/>
            </w:tcBorders>
          </w:tcPr>
          <w:p w14:paraId="042CAC28">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2037" w:type="dxa"/>
            <w:tcBorders>
              <w:top w:val="single" w:color="auto" w:sz="6" w:space="0"/>
              <w:left w:val="single" w:color="auto" w:sz="6" w:space="0"/>
              <w:bottom w:val="single" w:color="auto" w:sz="6" w:space="0"/>
              <w:right w:val="single" w:color="auto" w:sz="6" w:space="0"/>
            </w:tcBorders>
            <w:vAlign w:val="center"/>
          </w:tcPr>
          <w:p w14:paraId="383EB11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0D0F3A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540" w:type="dxa"/>
            <w:tcBorders>
              <w:top w:val="single" w:color="auto" w:sz="6" w:space="0"/>
              <w:left w:val="single" w:color="auto" w:sz="6" w:space="0"/>
              <w:bottom w:val="single" w:color="auto" w:sz="6" w:space="0"/>
              <w:right w:val="single" w:color="auto" w:sz="6" w:space="0"/>
            </w:tcBorders>
          </w:tcPr>
          <w:p w14:paraId="4932C2C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2</w:t>
            </w:r>
          </w:p>
        </w:tc>
        <w:tc>
          <w:tcPr>
            <w:tcW w:w="1865" w:type="dxa"/>
            <w:tcBorders>
              <w:top w:val="single" w:color="auto" w:sz="6" w:space="0"/>
              <w:left w:val="single" w:color="auto" w:sz="6" w:space="0"/>
              <w:bottom w:val="single" w:color="auto" w:sz="6" w:space="0"/>
              <w:right w:val="single" w:color="auto" w:sz="6" w:space="0"/>
            </w:tcBorders>
          </w:tcPr>
          <w:p w14:paraId="29CC7FA8">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260" w:type="dxa"/>
            <w:tcBorders>
              <w:top w:val="single" w:color="auto" w:sz="6" w:space="0"/>
              <w:left w:val="single" w:color="auto" w:sz="6" w:space="0"/>
              <w:bottom w:val="single" w:color="auto" w:sz="6" w:space="0"/>
              <w:right w:val="single" w:color="auto" w:sz="6" w:space="0"/>
            </w:tcBorders>
          </w:tcPr>
          <w:p w14:paraId="5562DAF9">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452" w:type="dxa"/>
            <w:tcBorders>
              <w:top w:val="single" w:color="auto" w:sz="6" w:space="0"/>
              <w:left w:val="single" w:color="auto" w:sz="6" w:space="0"/>
              <w:bottom w:val="single" w:color="auto" w:sz="6" w:space="0"/>
              <w:right w:val="single" w:color="auto" w:sz="6" w:space="0"/>
            </w:tcBorders>
          </w:tcPr>
          <w:p w14:paraId="78A1AA09">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954" w:type="dxa"/>
            <w:tcBorders>
              <w:top w:val="single" w:color="auto" w:sz="6" w:space="0"/>
              <w:left w:val="single" w:color="auto" w:sz="6" w:space="0"/>
              <w:bottom w:val="single" w:color="auto" w:sz="6" w:space="0"/>
              <w:right w:val="single" w:color="auto" w:sz="6" w:space="0"/>
            </w:tcBorders>
          </w:tcPr>
          <w:p w14:paraId="2A9FBE46">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2037" w:type="dxa"/>
            <w:tcBorders>
              <w:top w:val="single" w:color="auto" w:sz="6" w:space="0"/>
              <w:left w:val="single" w:color="auto" w:sz="6" w:space="0"/>
              <w:bottom w:val="single" w:color="auto" w:sz="6" w:space="0"/>
              <w:right w:val="single" w:color="auto" w:sz="6" w:space="0"/>
            </w:tcBorders>
            <w:vAlign w:val="center"/>
          </w:tcPr>
          <w:p w14:paraId="03D4C53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688701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540" w:type="dxa"/>
            <w:tcBorders>
              <w:top w:val="single" w:color="auto" w:sz="6" w:space="0"/>
              <w:left w:val="single" w:color="auto" w:sz="6" w:space="0"/>
              <w:bottom w:val="single" w:color="auto" w:sz="6" w:space="0"/>
              <w:right w:val="single" w:color="auto" w:sz="6" w:space="0"/>
            </w:tcBorders>
          </w:tcPr>
          <w:p w14:paraId="58D76AE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3</w:t>
            </w:r>
          </w:p>
        </w:tc>
        <w:tc>
          <w:tcPr>
            <w:tcW w:w="1865" w:type="dxa"/>
            <w:tcBorders>
              <w:top w:val="single" w:color="auto" w:sz="6" w:space="0"/>
              <w:left w:val="single" w:color="auto" w:sz="6" w:space="0"/>
              <w:bottom w:val="single" w:color="auto" w:sz="6" w:space="0"/>
              <w:right w:val="single" w:color="auto" w:sz="6" w:space="0"/>
            </w:tcBorders>
          </w:tcPr>
          <w:p w14:paraId="67E4BD7B">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260" w:type="dxa"/>
            <w:tcBorders>
              <w:top w:val="single" w:color="auto" w:sz="6" w:space="0"/>
              <w:left w:val="single" w:color="auto" w:sz="6" w:space="0"/>
              <w:bottom w:val="single" w:color="auto" w:sz="6" w:space="0"/>
              <w:right w:val="single" w:color="auto" w:sz="6" w:space="0"/>
            </w:tcBorders>
          </w:tcPr>
          <w:p w14:paraId="5119E80F">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452" w:type="dxa"/>
            <w:tcBorders>
              <w:top w:val="single" w:color="auto" w:sz="6" w:space="0"/>
              <w:left w:val="single" w:color="auto" w:sz="6" w:space="0"/>
              <w:bottom w:val="single" w:color="auto" w:sz="6" w:space="0"/>
              <w:right w:val="single" w:color="auto" w:sz="6" w:space="0"/>
            </w:tcBorders>
          </w:tcPr>
          <w:p w14:paraId="0D9DB99A">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954" w:type="dxa"/>
            <w:tcBorders>
              <w:top w:val="single" w:color="auto" w:sz="6" w:space="0"/>
              <w:left w:val="single" w:color="auto" w:sz="6" w:space="0"/>
              <w:bottom w:val="single" w:color="auto" w:sz="6" w:space="0"/>
              <w:right w:val="single" w:color="auto" w:sz="6" w:space="0"/>
            </w:tcBorders>
          </w:tcPr>
          <w:p w14:paraId="0DEB1AF7">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2037" w:type="dxa"/>
            <w:tcBorders>
              <w:top w:val="single" w:color="auto" w:sz="6" w:space="0"/>
              <w:left w:val="single" w:color="auto" w:sz="6" w:space="0"/>
              <w:bottom w:val="single" w:color="auto" w:sz="6" w:space="0"/>
              <w:right w:val="single" w:color="auto" w:sz="6" w:space="0"/>
            </w:tcBorders>
            <w:vAlign w:val="center"/>
          </w:tcPr>
          <w:p w14:paraId="5CEBE7E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5386C4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Pr>
          <w:p w14:paraId="5F4F925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4</w:t>
            </w:r>
          </w:p>
        </w:tc>
        <w:tc>
          <w:tcPr>
            <w:tcW w:w="1865" w:type="dxa"/>
            <w:tcBorders>
              <w:top w:val="single" w:color="auto" w:sz="6" w:space="0"/>
              <w:left w:val="single" w:color="auto" w:sz="6" w:space="0"/>
              <w:bottom w:val="single" w:color="auto" w:sz="6" w:space="0"/>
              <w:right w:val="single" w:color="auto" w:sz="6" w:space="0"/>
            </w:tcBorders>
          </w:tcPr>
          <w:p w14:paraId="319F778F">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260" w:type="dxa"/>
            <w:tcBorders>
              <w:top w:val="single" w:color="auto" w:sz="6" w:space="0"/>
              <w:left w:val="single" w:color="auto" w:sz="6" w:space="0"/>
              <w:bottom w:val="single" w:color="auto" w:sz="6" w:space="0"/>
              <w:right w:val="single" w:color="auto" w:sz="6" w:space="0"/>
            </w:tcBorders>
          </w:tcPr>
          <w:p w14:paraId="03BB1E2A">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452" w:type="dxa"/>
            <w:tcBorders>
              <w:top w:val="single" w:color="auto" w:sz="6" w:space="0"/>
              <w:left w:val="single" w:color="auto" w:sz="6" w:space="0"/>
              <w:bottom w:val="single" w:color="auto" w:sz="6" w:space="0"/>
              <w:right w:val="single" w:color="auto" w:sz="6" w:space="0"/>
            </w:tcBorders>
          </w:tcPr>
          <w:p w14:paraId="1E8431CB">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954" w:type="dxa"/>
            <w:tcBorders>
              <w:top w:val="single" w:color="auto" w:sz="6" w:space="0"/>
              <w:left w:val="single" w:color="auto" w:sz="6" w:space="0"/>
              <w:bottom w:val="single" w:color="auto" w:sz="6" w:space="0"/>
              <w:right w:val="single" w:color="auto" w:sz="6" w:space="0"/>
            </w:tcBorders>
          </w:tcPr>
          <w:p w14:paraId="5CE3F139">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2037" w:type="dxa"/>
            <w:tcBorders>
              <w:top w:val="single" w:color="auto" w:sz="6" w:space="0"/>
              <w:left w:val="single" w:color="auto" w:sz="6" w:space="0"/>
              <w:bottom w:val="single" w:color="auto" w:sz="6" w:space="0"/>
              <w:right w:val="single" w:color="auto" w:sz="6" w:space="0"/>
            </w:tcBorders>
            <w:vAlign w:val="center"/>
          </w:tcPr>
          <w:p w14:paraId="504FE30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065C81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Pr>
          <w:p w14:paraId="0A09FCC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5</w:t>
            </w:r>
          </w:p>
        </w:tc>
        <w:tc>
          <w:tcPr>
            <w:tcW w:w="1865" w:type="dxa"/>
            <w:tcBorders>
              <w:top w:val="single" w:color="auto" w:sz="6" w:space="0"/>
              <w:left w:val="single" w:color="auto" w:sz="6" w:space="0"/>
              <w:bottom w:val="single" w:color="auto" w:sz="6" w:space="0"/>
              <w:right w:val="single" w:color="auto" w:sz="6" w:space="0"/>
            </w:tcBorders>
          </w:tcPr>
          <w:p w14:paraId="59AD3247">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260" w:type="dxa"/>
            <w:tcBorders>
              <w:top w:val="single" w:color="auto" w:sz="6" w:space="0"/>
              <w:left w:val="single" w:color="auto" w:sz="6" w:space="0"/>
              <w:bottom w:val="single" w:color="auto" w:sz="6" w:space="0"/>
              <w:right w:val="single" w:color="auto" w:sz="6" w:space="0"/>
            </w:tcBorders>
          </w:tcPr>
          <w:p w14:paraId="641EACF3">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452" w:type="dxa"/>
            <w:tcBorders>
              <w:top w:val="single" w:color="auto" w:sz="6" w:space="0"/>
              <w:left w:val="single" w:color="auto" w:sz="6" w:space="0"/>
              <w:bottom w:val="single" w:color="auto" w:sz="6" w:space="0"/>
              <w:right w:val="single" w:color="auto" w:sz="6" w:space="0"/>
            </w:tcBorders>
          </w:tcPr>
          <w:p w14:paraId="65F1319E">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954" w:type="dxa"/>
            <w:tcBorders>
              <w:top w:val="single" w:color="auto" w:sz="6" w:space="0"/>
              <w:left w:val="single" w:color="auto" w:sz="6" w:space="0"/>
              <w:bottom w:val="single" w:color="auto" w:sz="6" w:space="0"/>
              <w:right w:val="single" w:color="auto" w:sz="6" w:space="0"/>
            </w:tcBorders>
          </w:tcPr>
          <w:p w14:paraId="7D15DA90">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2037" w:type="dxa"/>
            <w:tcBorders>
              <w:top w:val="single" w:color="auto" w:sz="6" w:space="0"/>
              <w:left w:val="single" w:color="auto" w:sz="6" w:space="0"/>
              <w:bottom w:val="single" w:color="auto" w:sz="6" w:space="0"/>
              <w:right w:val="single" w:color="auto" w:sz="6" w:space="0"/>
            </w:tcBorders>
            <w:vAlign w:val="center"/>
          </w:tcPr>
          <w:p w14:paraId="006E0AF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3F7AF2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Pr>
          <w:p w14:paraId="341F5070">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r>
              <w:rPr>
                <w:rFonts w:hint="eastAsia" w:ascii="宋体" w:hAnsi="宋体" w:cs="宋体"/>
                <w:color w:val="auto"/>
                <w:highlight w:val="none"/>
              </w:rPr>
              <w:t>…</w:t>
            </w:r>
          </w:p>
        </w:tc>
        <w:tc>
          <w:tcPr>
            <w:tcW w:w="1865" w:type="dxa"/>
            <w:tcBorders>
              <w:top w:val="single" w:color="auto" w:sz="6" w:space="0"/>
              <w:left w:val="single" w:color="auto" w:sz="6" w:space="0"/>
              <w:bottom w:val="single" w:color="auto" w:sz="6" w:space="0"/>
              <w:right w:val="single" w:color="auto" w:sz="6" w:space="0"/>
            </w:tcBorders>
          </w:tcPr>
          <w:p w14:paraId="14DF8669">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260" w:type="dxa"/>
            <w:tcBorders>
              <w:top w:val="single" w:color="auto" w:sz="6" w:space="0"/>
              <w:left w:val="single" w:color="auto" w:sz="6" w:space="0"/>
              <w:bottom w:val="single" w:color="auto" w:sz="6" w:space="0"/>
              <w:right w:val="single" w:color="auto" w:sz="6" w:space="0"/>
            </w:tcBorders>
          </w:tcPr>
          <w:p w14:paraId="41F9260A">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452" w:type="dxa"/>
            <w:tcBorders>
              <w:top w:val="single" w:color="auto" w:sz="6" w:space="0"/>
              <w:left w:val="single" w:color="auto" w:sz="6" w:space="0"/>
              <w:bottom w:val="single" w:color="auto" w:sz="6" w:space="0"/>
              <w:right w:val="single" w:color="auto" w:sz="6" w:space="0"/>
            </w:tcBorders>
          </w:tcPr>
          <w:p w14:paraId="4F41758C">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1954" w:type="dxa"/>
            <w:tcBorders>
              <w:top w:val="single" w:color="auto" w:sz="6" w:space="0"/>
              <w:left w:val="single" w:color="auto" w:sz="6" w:space="0"/>
              <w:bottom w:val="single" w:color="auto" w:sz="6" w:space="0"/>
              <w:right w:val="single" w:color="auto" w:sz="6" w:space="0"/>
            </w:tcBorders>
          </w:tcPr>
          <w:p w14:paraId="6C4A7183">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2037" w:type="dxa"/>
            <w:tcBorders>
              <w:top w:val="single" w:color="auto" w:sz="6" w:space="0"/>
              <w:left w:val="single" w:color="auto" w:sz="6" w:space="0"/>
              <w:bottom w:val="single" w:color="auto" w:sz="6" w:space="0"/>
              <w:right w:val="single" w:color="auto" w:sz="6" w:space="0"/>
            </w:tcBorders>
          </w:tcPr>
          <w:p w14:paraId="1B83385F">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r>
    </w:tbl>
    <w:p w14:paraId="4494ED13">
      <w:pPr>
        <w:spacing w:line="360" w:lineRule="auto"/>
        <w:rPr>
          <w:rFonts w:ascii="宋体" w:hAnsi="宋体" w:cs="宋体"/>
          <w:color w:val="auto"/>
          <w:highlight w:val="none"/>
        </w:rPr>
      </w:pPr>
      <w:r>
        <w:rPr>
          <w:rFonts w:hint="eastAsia" w:ascii="宋体" w:hAnsi="宋体" w:cs="宋体"/>
          <w:color w:val="auto"/>
          <w:highlight w:val="none"/>
        </w:rPr>
        <w:t>注：根据评审表的要求提交相应资料。</w:t>
      </w:r>
    </w:p>
    <w:p w14:paraId="1CBE1138">
      <w:pPr>
        <w:spacing w:line="360" w:lineRule="auto"/>
        <w:rPr>
          <w:rFonts w:ascii="宋体" w:hAnsi="宋体" w:cs="宋体"/>
          <w:color w:val="auto"/>
          <w:highlight w:val="none"/>
        </w:rPr>
      </w:pPr>
      <w:bookmarkStart w:id="1393" w:name="_Toc458791453"/>
      <w:bookmarkStart w:id="1394" w:name="_Toc475578774"/>
      <w:bookmarkStart w:id="1395" w:name="_Toc459708502"/>
      <w:bookmarkStart w:id="1396" w:name="_Toc461608939"/>
      <w:r>
        <w:rPr>
          <w:rFonts w:hint="eastAsia" w:ascii="宋体" w:hAnsi="宋体" w:cs="宋体"/>
          <w:color w:val="auto"/>
          <w:highlight w:val="none"/>
        </w:rPr>
        <w:br w:type="page"/>
      </w:r>
    </w:p>
    <w:p w14:paraId="2CAB918C">
      <w:pPr>
        <w:pStyle w:val="4"/>
        <w:keepLines w:val="0"/>
        <w:widowControl w:val="0"/>
        <w:numPr>
          <w:ilvl w:val="0"/>
          <w:numId w:val="0"/>
        </w:numPr>
        <w:tabs>
          <w:tab w:val="left" w:pos="851"/>
        </w:tabs>
        <w:adjustRightInd/>
        <w:snapToGrid/>
        <w:spacing w:line="360" w:lineRule="auto"/>
        <w:ind w:left="851" w:leftChars="0" w:hanging="851" w:firstLineChars="0"/>
        <w:jc w:val="both"/>
        <w:rPr>
          <w:rFonts w:hAnsi="宋体" w:cs="宋体"/>
          <w:b/>
          <w:bCs w:val="0"/>
          <w:color w:val="auto"/>
          <w:sz w:val="21"/>
          <w:szCs w:val="21"/>
          <w:highlight w:val="none"/>
        </w:rPr>
      </w:pPr>
      <w:bookmarkStart w:id="1397" w:name="_Toc15666"/>
      <w:bookmarkStart w:id="1398" w:name="_Toc508619371"/>
      <w:bookmarkStart w:id="1399" w:name="_Toc475522386"/>
      <w:bookmarkStart w:id="1400" w:name="_Toc4228"/>
      <w:bookmarkStart w:id="1401" w:name="_Toc513630893"/>
      <w:bookmarkStart w:id="1402" w:name="_Toc508036031"/>
      <w:bookmarkStart w:id="1403" w:name="_Toc510104797"/>
      <w:bookmarkStart w:id="1404" w:name="_Toc528659820"/>
      <w:bookmarkStart w:id="1405" w:name="_Toc19675"/>
      <w:bookmarkStart w:id="1406" w:name="_Toc26961"/>
      <w:bookmarkStart w:id="1407" w:name="_Toc513112110"/>
      <w:bookmarkStart w:id="1408" w:name="_Toc522036012"/>
      <w:bookmarkStart w:id="1409" w:name="_Toc7900"/>
      <w:bookmarkStart w:id="1410" w:name="_Toc3074"/>
      <w:bookmarkStart w:id="1411" w:name="_Toc484599513"/>
      <w:bookmarkStart w:id="1412" w:name="_Toc18375"/>
      <w:bookmarkStart w:id="1413" w:name="_Toc500260813"/>
      <w:bookmarkStart w:id="1414" w:name="_Toc511293863"/>
      <w:bookmarkStart w:id="1415" w:name="_Toc535418270"/>
      <w:bookmarkStart w:id="1416" w:name="_Toc8050"/>
      <w:r>
        <w:rPr>
          <w:rFonts w:hint="eastAsia" w:hAnsi="宋体" w:cs="宋体"/>
          <w:b/>
          <w:bCs w:val="0"/>
          <w:color w:val="auto"/>
          <w:sz w:val="21"/>
          <w:szCs w:val="21"/>
          <w:highlight w:val="none"/>
          <w:lang w:val="en-US" w:eastAsia="zh-CN" w:bidi="ar-SA"/>
        </w:rPr>
        <w:t xml:space="preserve">7. </w:t>
      </w:r>
      <w:r>
        <w:rPr>
          <w:rFonts w:hint="eastAsia" w:hAnsi="宋体" w:cs="宋体"/>
          <w:b/>
          <w:bCs w:val="0"/>
          <w:color w:val="auto"/>
          <w:sz w:val="21"/>
          <w:szCs w:val="21"/>
          <w:highlight w:val="none"/>
        </w:rPr>
        <w:t>采购需求</w:t>
      </w:r>
      <w:r>
        <w:rPr>
          <w:rFonts w:hint="eastAsia" w:hAnsi="宋体" w:cs="宋体"/>
          <w:b/>
          <w:bCs w:val="0"/>
          <w:color w:val="auto"/>
          <w:sz w:val="22"/>
          <w:szCs w:val="24"/>
          <w:highlight w:val="none"/>
        </w:rPr>
        <w:t>非实质性条款响应表</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tbl>
      <w:tblPr>
        <w:tblStyle w:val="2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776"/>
        <w:gridCol w:w="2589"/>
        <w:gridCol w:w="803"/>
        <w:gridCol w:w="1113"/>
        <w:gridCol w:w="1879"/>
      </w:tblGrid>
      <w:tr w14:paraId="41543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48EC64E4">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序号</w:t>
            </w:r>
          </w:p>
        </w:tc>
        <w:tc>
          <w:tcPr>
            <w:tcW w:w="1015" w:type="pct"/>
            <w:vAlign w:val="center"/>
          </w:tcPr>
          <w:p w14:paraId="7519FC85">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遴选文件要求</w:t>
            </w:r>
          </w:p>
        </w:tc>
        <w:tc>
          <w:tcPr>
            <w:tcW w:w="1480" w:type="pct"/>
            <w:vAlign w:val="center"/>
          </w:tcPr>
          <w:p w14:paraId="1B1CFF84">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参选文件响应</w:t>
            </w:r>
          </w:p>
          <w:p w14:paraId="7526FF6A">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(参选人应按响应货物/服务实际数据填写)</w:t>
            </w:r>
          </w:p>
        </w:tc>
        <w:tc>
          <w:tcPr>
            <w:tcW w:w="459" w:type="pct"/>
            <w:vAlign w:val="center"/>
          </w:tcPr>
          <w:p w14:paraId="094227FB">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响应/偏离</w:t>
            </w:r>
          </w:p>
        </w:tc>
        <w:tc>
          <w:tcPr>
            <w:tcW w:w="636" w:type="pct"/>
            <w:vAlign w:val="center"/>
          </w:tcPr>
          <w:p w14:paraId="2C468957">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偏离说明</w:t>
            </w:r>
          </w:p>
        </w:tc>
        <w:tc>
          <w:tcPr>
            <w:tcW w:w="1074" w:type="pct"/>
            <w:vAlign w:val="center"/>
          </w:tcPr>
          <w:p w14:paraId="403F969F">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证明材料</w:t>
            </w:r>
          </w:p>
          <w:p w14:paraId="4A15F651">
            <w:pPr>
              <w:keepNext w:val="0"/>
              <w:keepLines w:val="0"/>
              <w:widowControl/>
              <w:suppressLineNumbers w:val="0"/>
              <w:spacing w:before="0" w:beforeAutospacing="0" w:after="0" w:afterAutospacing="0" w:line="360" w:lineRule="auto"/>
              <w:ind w:left="0" w:right="0"/>
              <w:jc w:val="center"/>
              <w:rPr>
                <w:rFonts w:hint="default" w:ascii="宋体" w:hAnsi="宋体" w:cs="宋体"/>
                <w:b/>
                <w:bCs/>
                <w:color w:val="auto"/>
                <w:highlight w:val="none"/>
              </w:rPr>
            </w:pPr>
            <w:r>
              <w:rPr>
                <w:rFonts w:hint="eastAsia" w:ascii="宋体" w:hAnsi="宋体" w:cs="宋体"/>
                <w:b/>
                <w:bCs/>
                <w:color w:val="auto"/>
                <w:highlight w:val="none"/>
              </w:rPr>
              <w:t>（如有）</w:t>
            </w:r>
          </w:p>
        </w:tc>
      </w:tr>
      <w:tr w14:paraId="21F3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5BEA755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1</w:t>
            </w:r>
          </w:p>
        </w:tc>
        <w:tc>
          <w:tcPr>
            <w:tcW w:w="1015" w:type="pct"/>
            <w:vAlign w:val="center"/>
          </w:tcPr>
          <w:p w14:paraId="33BB1023">
            <w:pPr>
              <w:pStyle w:val="36"/>
              <w:keepNext w:val="0"/>
              <w:keepLines w:val="0"/>
              <w:suppressLineNumbers w:val="0"/>
              <w:adjustRightInd/>
              <w:spacing w:before="0" w:beforeAutospacing="0" w:after="0" w:afterAutospacing="0" w:line="360" w:lineRule="auto"/>
              <w:ind w:left="0" w:right="0"/>
              <w:rPr>
                <w:rFonts w:hint="default" w:ascii="宋体" w:hAnsi="宋体" w:cs="宋体"/>
                <w:color w:val="auto"/>
                <w:spacing w:val="0"/>
                <w:kern w:val="2"/>
                <w:sz w:val="21"/>
                <w:szCs w:val="21"/>
                <w:highlight w:val="none"/>
              </w:rPr>
            </w:pPr>
          </w:p>
        </w:tc>
        <w:tc>
          <w:tcPr>
            <w:tcW w:w="1480" w:type="pct"/>
          </w:tcPr>
          <w:p w14:paraId="005537A4">
            <w:pPr>
              <w:pStyle w:val="36"/>
              <w:keepNext w:val="0"/>
              <w:keepLines w:val="0"/>
              <w:suppressLineNumbers w:val="0"/>
              <w:adjustRightInd/>
              <w:spacing w:before="0" w:beforeAutospacing="0" w:after="0" w:afterAutospacing="0" w:line="360" w:lineRule="auto"/>
              <w:ind w:left="0" w:right="0"/>
              <w:rPr>
                <w:rFonts w:hint="default" w:ascii="宋体" w:hAnsi="宋体" w:cs="宋体"/>
                <w:color w:val="auto"/>
                <w:spacing w:val="0"/>
                <w:kern w:val="2"/>
                <w:sz w:val="21"/>
                <w:szCs w:val="21"/>
                <w:highlight w:val="none"/>
              </w:rPr>
            </w:pPr>
          </w:p>
        </w:tc>
        <w:tc>
          <w:tcPr>
            <w:tcW w:w="459" w:type="pct"/>
            <w:vAlign w:val="center"/>
          </w:tcPr>
          <w:p w14:paraId="385E1279">
            <w:pPr>
              <w:pStyle w:val="36"/>
              <w:keepNext w:val="0"/>
              <w:keepLines w:val="0"/>
              <w:suppressLineNumbers w:val="0"/>
              <w:adjustRightInd/>
              <w:spacing w:before="0" w:beforeAutospacing="0" w:after="0" w:afterAutospacing="0" w:line="360" w:lineRule="auto"/>
              <w:ind w:left="0" w:right="0"/>
              <w:rPr>
                <w:rFonts w:hint="default" w:ascii="宋体" w:hAnsi="宋体" w:cs="宋体"/>
                <w:color w:val="auto"/>
                <w:spacing w:val="0"/>
                <w:kern w:val="2"/>
                <w:sz w:val="21"/>
                <w:szCs w:val="21"/>
                <w:highlight w:val="none"/>
              </w:rPr>
            </w:pPr>
          </w:p>
        </w:tc>
        <w:tc>
          <w:tcPr>
            <w:tcW w:w="636" w:type="pct"/>
            <w:vAlign w:val="center"/>
          </w:tcPr>
          <w:p w14:paraId="2309FC3E">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p>
        </w:tc>
        <w:tc>
          <w:tcPr>
            <w:tcW w:w="1074" w:type="pct"/>
            <w:vAlign w:val="center"/>
          </w:tcPr>
          <w:p w14:paraId="32F6AE2A">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7E1E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24B7DEB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2</w:t>
            </w:r>
          </w:p>
        </w:tc>
        <w:tc>
          <w:tcPr>
            <w:tcW w:w="1015" w:type="pct"/>
            <w:vAlign w:val="center"/>
          </w:tcPr>
          <w:p w14:paraId="02FCFF8C">
            <w:pPr>
              <w:pStyle w:val="36"/>
              <w:keepNext w:val="0"/>
              <w:keepLines w:val="0"/>
              <w:suppressLineNumbers w:val="0"/>
              <w:adjustRightInd/>
              <w:spacing w:before="0" w:beforeAutospacing="0" w:after="0" w:afterAutospacing="0" w:line="360" w:lineRule="auto"/>
              <w:ind w:left="0" w:right="0"/>
              <w:rPr>
                <w:rFonts w:hint="default" w:ascii="宋体" w:hAnsi="宋体" w:cs="宋体"/>
                <w:color w:val="auto"/>
                <w:spacing w:val="0"/>
                <w:kern w:val="2"/>
                <w:sz w:val="21"/>
                <w:szCs w:val="21"/>
                <w:highlight w:val="none"/>
              </w:rPr>
            </w:pPr>
          </w:p>
        </w:tc>
        <w:tc>
          <w:tcPr>
            <w:tcW w:w="1480" w:type="pct"/>
          </w:tcPr>
          <w:p w14:paraId="65849174">
            <w:pPr>
              <w:pStyle w:val="36"/>
              <w:keepNext w:val="0"/>
              <w:keepLines w:val="0"/>
              <w:suppressLineNumbers w:val="0"/>
              <w:adjustRightInd/>
              <w:spacing w:before="0" w:beforeAutospacing="0" w:after="0" w:afterAutospacing="0" w:line="360" w:lineRule="auto"/>
              <w:ind w:left="0" w:right="0"/>
              <w:rPr>
                <w:rFonts w:hint="default" w:ascii="宋体" w:hAnsi="宋体" w:cs="宋体"/>
                <w:color w:val="auto"/>
                <w:spacing w:val="0"/>
                <w:kern w:val="2"/>
                <w:sz w:val="21"/>
                <w:szCs w:val="21"/>
                <w:highlight w:val="none"/>
              </w:rPr>
            </w:pPr>
          </w:p>
        </w:tc>
        <w:tc>
          <w:tcPr>
            <w:tcW w:w="459" w:type="pct"/>
            <w:vAlign w:val="center"/>
          </w:tcPr>
          <w:p w14:paraId="2BFA6C87">
            <w:pPr>
              <w:pStyle w:val="36"/>
              <w:keepNext w:val="0"/>
              <w:keepLines w:val="0"/>
              <w:suppressLineNumbers w:val="0"/>
              <w:adjustRightInd/>
              <w:spacing w:before="0" w:beforeAutospacing="0" w:after="0" w:afterAutospacing="0" w:line="360" w:lineRule="auto"/>
              <w:ind w:left="0" w:right="0"/>
              <w:rPr>
                <w:rFonts w:hint="default" w:ascii="宋体" w:hAnsi="宋体" w:cs="宋体"/>
                <w:color w:val="auto"/>
                <w:spacing w:val="0"/>
                <w:kern w:val="2"/>
                <w:sz w:val="21"/>
                <w:szCs w:val="21"/>
                <w:highlight w:val="none"/>
              </w:rPr>
            </w:pPr>
          </w:p>
        </w:tc>
        <w:tc>
          <w:tcPr>
            <w:tcW w:w="636" w:type="pct"/>
            <w:vAlign w:val="center"/>
          </w:tcPr>
          <w:p w14:paraId="5C379AEF">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p>
        </w:tc>
        <w:tc>
          <w:tcPr>
            <w:tcW w:w="1074" w:type="pct"/>
            <w:vAlign w:val="center"/>
          </w:tcPr>
          <w:p w14:paraId="3027A706">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0192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642DF3F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3</w:t>
            </w:r>
          </w:p>
        </w:tc>
        <w:tc>
          <w:tcPr>
            <w:tcW w:w="1015" w:type="pct"/>
            <w:vAlign w:val="center"/>
          </w:tcPr>
          <w:p w14:paraId="74E1582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480" w:type="pct"/>
          </w:tcPr>
          <w:p w14:paraId="771EE7C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59" w:type="pct"/>
            <w:vAlign w:val="center"/>
          </w:tcPr>
          <w:p w14:paraId="2F34471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36" w:type="pct"/>
            <w:vAlign w:val="center"/>
          </w:tcPr>
          <w:p w14:paraId="59D4924D">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p>
        </w:tc>
        <w:tc>
          <w:tcPr>
            <w:tcW w:w="1074" w:type="pct"/>
            <w:vAlign w:val="center"/>
          </w:tcPr>
          <w:p w14:paraId="179D52FE">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07137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5FA21E1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4</w:t>
            </w:r>
          </w:p>
        </w:tc>
        <w:tc>
          <w:tcPr>
            <w:tcW w:w="1015" w:type="pct"/>
            <w:vAlign w:val="center"/>
          </w:tcPr>
          <w:p w14:paraId="5DC6C00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480" w:type="pct"/>
          </w:tcPr>
          <w:p w14:paraId="27F8FAD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59" w:type="pct"/>
            <w:vAlign w:val="center"/>
          </w:tcPr>
          <w:p w14:paraId="2728C5D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36" w:type="pct"/>
            <w:vAlign w:val="center"/>
          </w:tcPr>
          <w:p w14:paraId="7068351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74" w:type="pct"/>
            <w:vAlign w:val="center"/>
          </w:tcPr>
          <w:p w14:paraId="4BF7DE5F">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41FC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3C852D2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5</w:t>
            </w:r>
          </w:p>
        </w:tc>
        <w:tc>
          <w:tcPr>
            <w:tcW w:w="1015" w:type="pct"/>
            <w:vAlign w:val="center"/>
          </w:tcPr>
          <w:p w14:paraId="7FF8D4B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480" w:type="pct"/>
          </w:tcPr>
          <w:p w14:paraId="5BB4E5D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59" w:type="pct"/>
            <w:vAlign w:val="center"/>
          </w:tcPr>
          <w:p w14:paraId="7A863A8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36" w:type="pct"/>
            <w:vAlign w:val="center"/>
          </w:tcPr>
          <w:p w14:paraId="7FE5BCA5">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p>
        </w:tc>
        <w:tc>
          <w:tcPr>
            <w:tcW w:w="1074" w:type="pct"/>
            <w:vAlign w:val="center"/>
          </w:tcPr>
          <w:p w14:paraId="0E22ABB6">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56593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5CAC0AE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6</w:t>
            </w:r>
          </w:p>
        </w:tc>
        <w:tc>
          <w:tcPr>
            <w:tcW w:w="1015" w:type="pct"/>
            <w:vAlign w:val="center"/>
          </w:tcPr>
          <w:p w14:paraId="745DFDD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480" w:type="pct"/>
          </w:tcPr>
          <w:p w14:paraId="4139F56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59" w:type="pct"/>
            <w:vAlign w:val="center"/>
          </w:tcPr>
          <w:p w14:paraId="2A0011B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36" w:type="pct"/>
            <w:vAlign w:val="center"/>
          </w:tcPr>
          <w:p w14:paraId="65AC0271">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p>
        </w:tc>
        <w:tc>
          <w:tcPr>
            <w:tcW w:w="1074" w:type="pct"/>
            <w:vAlign w:val="center"/>
          </w:tcPr>
          <w:p w14:paraId="60D7E529">
            <w:pPr>
              <w:keepNext w:val="0"/>
              <w:keepLines w:val="0"/>
              <w:widowControl/>
              <w:suppressLineNumbers w:val="0"/>
              <w:spacing w:before="0" w:beforeAutospacing="0" w:after="0" w:afterAutospacing="0" w:line="360" w:lineRule="auto"/>
              <w:ind w:left="0" w:right="-35"/>
              <w:jc w:val="center"/>
              <w:rPr>
                <w:rFonts w:hint="default" w:ascii="宋体" w:hAnsi="宋体" w:cs="宋体"/>
                <w:color w:val="auto"/>
                <w:highlight w:val="none"/>
              </w:rPr>
            </w:pPr>
            <w:r>
              <w:rPr>
                <w:rFonts w:hint="eastAsia" w:ascii="宋体" w:hAnsi="宋体" w:cs="宋体"/>
                <w:color w:val="auto"/>
                <w:highlight w:val="none"/>
              </w:rPr>
              <w:t>见参选文件（）页</w:t>
            </w:r>
          </w:p>
        </w:tc>
      </w:tr>
      <w:tr w14:paraId="6681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 w:type="pct"/>
            <w:vAlign w:val="center"/>
          </w:tcPr>
          <w:p w14:paraId="626372E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w:t>
            </w:r>
          </w:p>
        </w:tc>
        <w:tc>
          <w:tcPr>
            <w:tcW w:w="1015" w:type="pct"/>
            <w:vAlign w:val="center"/>
          </w:tcPr>
          <w:p w14:paraId="791DFD1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480" w:type="pct"/>
          </w:tcPr>
          <w:p w14:paraId="5482F55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59" w:type="pct"/>
            <w:vAlign w:val="center"/>
          </w:tcPr>
          <w:p w14:paraId="578BB88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36" w:type="pct"/>
            <w:vAlign w:val="center"/>
          </w:tcPr>
          <w:p w14:paraId="5F4923A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74" w:type="pct"/>
            <w:vAlign w:val="center"/>
          </w:tcPr>
          <w:p w14:paraId="5464E0F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bl>
    <w:p w14:paraId="3B7CEDCF">
      <w:pPr>
        <w:tabs>
          <w:tab w:val="left" w:pos="851"/>
        </w:tabs>
        <w:spacing w:line="360" w:lineRule="auto"/>
        <w:rPr>
          <w:rFonts w:ascii="宋体" w:hAnsi="宋体" w:cs="宋体"/>
          <w:color w:val="auto"/>
          <w:highlight w:val="none"/>
        </w:rPr>
      </w:pPr>
      <w:r>
        <w:rPr>
          <w:rFonts w:hint="eastAsia" w:ascii="宋体" w:hAnsi="宋体" w:cs="宋体"/>
          <w:color w:val="auto"/>
          <w:highlight w:val="none"/>
        </w:rPr>
        <w:t>注：1）参选人必</w:t>
      </w:r>
      <w:r>
        <w:rPr>
          <w:rFonts w:hint="eastAsia" w:ascii="宋体" w:hAnsi="宋体" w:cs="宋体"/>
          <w:color w:val="auto"/>
          <w:highlight w:val="none"/>
          <w:lang w:val="en-GB"/>
        </w:rPr>
        <w:t>须将第三章“采购需求”中的全部</w:t>
      </w:r>
      <w:r>
        <w:rPr>
          <w:rFonts w:hint="eastAsia" w:ascii="宋体" w:hAnsi="宋体" w:cs="宋体"/>
          <w:b/>
          <w:bCs/>
          <w:color w:val="auto"/>
          <w:highlight w:val="none"/>
          <w:lang w:val="en-GB"/>
        </w:rPr>
        <w:t>非</w:t>
      </w:r>
      <w:r>
        <w:rPr>
          <w:rFonts w:hint="eastAsia" w:ascii="宋体" w:hAnsi="宋体" w:cs="宋体"/>
          <w:color w:val="auto"/>
          <w:highlight w:val="none"/>
          <w:lang w:val="en-GB"/>
        </w:rPr>
        <w:t>“★”</w:t>
      </w:r>
      <w:r>
        <w:rPr>
          <w:rFonts w:hint="eastAsia" w:ascii="宋体" w:hAnsi="宋体" w:cs="宋体"/>
          <w:b/>
          <w:bCs/>
          <w:color w:val="auto"/>
          <w:highlight w:val="none"/>
          <w:lang w:val="en-GB"/>
        </w:rPr>
        <w:t>条款</w:t>
      </w:r>
      <w:r>
        <w:rPr>
          <w:rFonts w:hint="eastAsia" w:ascii="宋体" w:hAnsi="宋体" w:cs="宋体"/>
          <w:color w:val="auto"/>
          <w:highlight w:val="none"/>
          <w:lang w:val="en-GB"/>
        </w:rPr>
        <w:t>参数</w:t>
      </w:r>
      <w:r>
        <w:rPr>
          <w:rFonts w:hint="eastAsia" w:ascii="宋体" w:hAnsi="宋体" w:cs="宋体"/>
          <w:b/>
          <w:bCs/>
          <w:color w:val="auto"/>
          <w:highlight w:val="none"/>
          <w:lang w:val="en-GB"/>
        </w:rPr>
        <w:t>按顺序逐条填写</w:t>
      </w:r>
      <w:r>
        <w:rPr>
          <w:rFonts w:hint="eastAsia" w:ascii="宋体" w:hAnsi="宋体" w:cs="宋体"/>
          <w:color w:val="auto"/>
          <w:highlight w:val="none"/>
          <w:lang w:val="en-GB"/>
        </w:rPr>
        <w:t>。</w:t>
      </w:r>
    </w:p>
    <w:p w14:paraId="759C79BF">
      <w:pPr>
        <w:tabs>
          <w:tab w:val="left" w:pos="851"/>
        </w:tabs>
        <w:spacing w:line="360" w:lineRule="auto"/>
        <w:ind w:firstLine="420" w:firstLineChars="200"/>
        <w:rPr>
          <w:rFonts w:ascii="宋体" w:hAnsi="宋体" w:cs="宋体"/>
          <w:color w:val="auto"/>
          <w:highlight w:val="none"/>
        </w:rPr>
      </w:pPr>
      <w:r>
        <w:rPr>
          <w:rFonts w:hint="eastAsia" w:ascii="宋体" w:hAnsi="宋体" w:cs="宋体"/>
          <w:color w:val="auto"/>
          <w:highlight w:val="none"/>
        </w:rPr>
        <w:t>2）请在“偏离说明”栏内扼要说明偏离情况。</w:t>
      </w:r>
    </w:p>
    <w:p w14:paraId="7CDA1722">
      <w:pPr>
        <w:tabs>
          <w:tab w:val="left" w:pos="851"/>
        </w:tabs>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3）请在“证明材料”栏内注明相应证明材料在参选文件中的位置。</w:t>
      </w:r>
    </w:p>
    <w:p w14:paraId="20BC20BF">
      <w:pPr>
        <w:tabs>
          <w:tab w:val="left" w:pos="851"/>
        </w:tabs>
        <w:spacing w:line="360" w:lineRule="auto"/>
        <w:ind w:firstLine="420" w:firstLineChars="200"/>
        <w:rPr>
          <w:rFonts w:ascii="宋体" w:hAnsi="宋体" w:cs="宋体"/>
          <w:color w:val="auto"/>
          <w:highlight w:val="none"/>
          <w:lang w:val="en-GB"/>
        </w:rPr>
      </w:pPr>
      <w:r>
        <w:rPr>
          <w:rFonts w:hint="eastAsia" w:ascii="宋体" w:hAnsi="宋体" w:cs="宋体"/>
          <w:color w:val="auto"/>
          <w:highlight w:val="none"/>
        </w:rPr>
        <w:t>4）请参选人认真填写本表内容，如填写错误或有遗漏将可能导致参选无效。</w:t>
      </w:r>
    </w:p>
    <w:p w14:paraId="7BFEDE86">
      <w:pPr>
        <w:spacing w:line="360" w:lineRule="auto"/>
        <w:rPr>
          <w:rFonts w:ascii="宋体" w:hAnsi="宋体" w:cs="宋体"/>
          <w:color w:val="auto"/>
          <w:highlight w:val="none"/>
          <w:lang w:val="en-GB"/>
        </w:rPr>
      </w:pPr>
    </w:p>
    <w:p w14:paraId="108C07B2">
      <w:pPr>
        <w:adjustRightInd w:val="0"/>
        <w:snapToGrid w:val="0"/>
        <w:spacing w:line="360" w:lineRule="auto"/>
        <w:rPr>
          <w:rFonts w:ascii="宋体" w:hAnsi="宋体" w:cs="宋体"/>
          <w:color w:val="auto"/>
          <w:highlight w:val="none"/>
        </w:rPr>
      </w:pPr>
    </w:p>
    <w:p w14:paraId="2A73C76C">
      <w:pPr>
        <w:adjustRightInd w:val="0"/>
        <w:snapToGrid w:val="0"/>
        <w:spacing w:line="360" w:lineRule="auto"/>
        <w:rPr>
          <w:rFonts w:ascii="宋体" w:hAnsi="宋体" w:cs="宋体"/>
          <w:color w:val="auto"/>
          <w:highlight w:val="none"/>
        </w:rPr>
      </w:pPr>
    </w:p>
    <w:p w14:paraId="14FCEB10">
      <w:pPr>
        <w:adjustRightInd w:val="0"/>
        <w:snapToGrid w:val="0"/>
        <w:spacing w:line="360" w:lineRule="auto"/>
        <w:rPr>
          <w:rFonts w:ascii="宋体" w:hAnsi="宋体" w:cs="宋体"/>
          <w:color w:val="auto"/>
          <w:highlight w:val="none"/>
        </w:rPr>
      </w:pPr>
    </w:p>
    <w:p w14:paraId="1B3BCCDD">
      <w:pPr>
        <w:pStyle w:val="4"/>
        <w:keepLines w:val="0"/>
        <w:widowControl w:val="0"/>
        <w:numPr>
          <w:ilvl w:val="0"/>
          <w:numId w:val="0"/>
        </w:numPr>
        <w:tabs>
          <w:tab w:val="left" w:pos="851"/>
        </w:tabs>
        <w:adjustRightInd/>
        <w:snapToGrid/>
        <w:spacing w:line="360" w:lineRule="auto"/>
        <w:ind w:left="851" w:leftChars="0" w:hanging="851" w:firstLineChars="0"/>
        <w:jc w:val="both"/>
        <w:rPr>
          <w:rFonts w:ascii="宋体" w:hAnsi="宋体" w:eastAsia="宋体" w:cs="宋体"/>
          <w:b/>
          <w:bCs w:val="0"/>
          <w:color w:val="auto"/>
          <w:sz w:val="21"/>
          <w:szCs w:val="21"/>
          <w:highlight w:val="none"/>
          <w:lang w:val="en-US" w:eastAsia="zh-CN" w:bidi="ar-SA"/>
        </w:rPr>
      </w:pPr>
    </w:p>
    <w:p w14:paraId="27C53FA5">
      <w:pPr>
        <w:pStyle w:val="4"/>
        <w:keepLines w:val="0"/>
        <w:widowControl w:val="0"/>
        <w:numPr>
          <w:ilvl w:val="0"/>
          <w:numId w:val="0"/>
        </w:numPr>
        <w:tabs>
          <w:tab w:val="left" w:pos="851"/>
        </w:tabs>
        <w:adjustRightInd/>
        <w:snapToGrid/>
        <w:spacing w:line="360" w:lineRule="auto"/>
        <w:ind w:left="851" w:leftChars="0" w:hanging="851" w:firstLineChars="0"/>
        <w:jc w:val="both"/>
        <w:rPr>
          <w:rFonts w:hAnsi="宋体" w:cs="宋体"/>
          <w:b/>
          <w:bCs/>
          <w:color w:val="auto"/>
          <w:sz w:val="21"/>
          <w:szCs w:val="21"/>
          <w:highlight w:val="none"/>
        </w:rPr>
      </w:pPr>
      <w:r>
        <w:rPr>
          <w:rFonts w:hint="eastAsia" w:hAnsi="宋体" w:cs="宋体"/>
          <w:color w:val="auto"/>
          <w:highlight w:val="none"/>
        </w:rPr>
        <w:br w:type="page"/>
      </w:r>
      <w:bookmarkStart w:id="1417" w:name="_Toc508619372"/>
      <w:bookmarkStart w:id="1418" w:name="_Toc2437"/>
      <w:bookmarkStart w:id="1419" w:name="_Toc2440"/>
      <w:bookmarkStart w:id="1420" w:name="_Toc513630894"/>
      <w:bookmarkStart w:id="1421" w:name="_Toc511293864"/>
      <w:bookmarkStart w:id="1422" w:name="_Toc522036013"/>
      <w:bookmarkStart w:id="1423" w:name="_Toc459708503"/>
      <w:bookmarkStart w:id="1424" w:name="_Toc484599514"/>
      <w:bookmarkStart w:id="1425" w:name="_Toc461608940"/>
      <w:bookmarkStart w:id="1426" w:name="_Toc535418271"/>
      <w:bookmarkStart w:id="1427" w:name="_Toc10794"/>
      <w:bookmarkStart w:id="1428" w:name="_Toc475578775"/>
      <w:bookmarkStart w:id="1429" w:name="_Toc513112111"/>
      <w:bookmarkStart w:id="1430" w:name="_Toc3394"/>
      <w:bookmarkStart w:id="1431" w:name="_Toc528659821"/>
      <w:bookmarkStart w:id="1432" w:name="_Toc9019"/>
      <w:bookmarkStart w:id="1433" w:name="_Toc9811"/>
      <w:bookmarkStart w:id="1434" w:name="_Toc4231"/>
      <w:bookmarkStart w:id="1435" w:name="_Toc508036032"/>
      <w:bookmarkStart w:id="1436" w:name="_Toc458791454"/>
      <w:bookmarkStart w:id="1437" w:name="_Toc31075"/>
      <w:bookmarkStart w:id="1438" w:name="_Toc500260814"/>
      <w:bookmarkStart w:id="1439" w:name="_Toc510104798"/>
      <w:bookmarkStart w:id="1440" w:name="_Toc475522387"/>
      <w:r>
        <w:rPr>
          <w:rFonts w:hint="eastAsia" w:hAnsi="宋体" w:cs="宋体"/>
          <w:b/>
          <w:bCs/>
          <w:color w:val="auto"/>
          <w:sz w:val="21"/>
          <w:szCs w:val="21"/>
          <w:highlight w:val="none"/>
          <w:lang w:val="en-US" w:eastAsia="zh-CN"/>
        </w:rPr>
        <w:t xml:space="preserve">8. </w:t>
      </w:r>
      <w:r>
        <w:rPr>
          <w:rFonts w:hint="eastAsia" w:hAnsi="宋体" w:cs="宋体"/>
          <w:b/>
          <w:bCs/>
          <w:color w:val="auto"/>
          <w:sz w:val="21"/>
          <w:szCs w:val="21"/>
          <w:highlight w:val="none"/>
        </w:rPr>
        <w:t>实施计划</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1525CF2">
      <w:pPr>
        <w:spacing w:line="360" w:lineRule="auto"/>
        <w:rPr>
          <w:rFonts w:ascii="宋体" w:hAnsi="宋体" w:cs="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.1服务方案</w:t>
      </w:r>
    </w:p>
    <w:p w14:paraId="69DF511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参选人结合自身实际情况，根据采购需求及服务、商务评分表内容自行编制。</w:t>
      </w:r>
    </w:p>
    <w:p w14:paraId="5E8B9BF3">
      <w:pPr>
        <w:adjustRightInd w:val="0"/>
        <w:snapToGrid w:val="0"/>
        <w:spacing w:line="360" w:lineRule="auto"/>
        <w:rPr>
          <w:rFonts w:ascii="宋体" w:hAnsi="宋体" w:cs="宋体"/>
          <w:color w:val="auto"/>
          <w:highlight w:val="none"/>
          <w:lang w:val="en-GB"/>
        </w:rPr>
      </w:pPr>
    </w:p>
    <w:p w14:paraId="5FB65C43">
      <w:pPr>
        <w:tabs>
          <w:tab w:val="left" w:pos="851"/>
        </w:tabs>
        <w:spacing w:line="360" w:lineRule="auto"/>
        <w:rPr>
          <w:rFonts w:ascii="宋体" w:hAnsi="宋体" w:cs="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.2 拟投入本项目服务团队情况</w:t>
      </w:r>
    </w:p>
    <w:tbl>
      <w:tblPr>
        <w:tblStyle w:val="2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4"/>
        <w:gridCol w:w="1137"/>
        <w:gridCol w:w="761"/>
        <w:gridCol w:w="761"/>
        <w:gridCol w:w="1864"/>
        <w:gridCol w:w="1607"/>
        <w:gridCol w:w="1137"/>
      </w:tblGrid>
      <w:tr w14:paraId="4C2F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jc w:val="center"/>
        </w:trPr>
        <w:tc>
          <w:tcPr>
            <w:tcW w:w="843" w:type="pct"/>
            <w:tcBorders>
              <w:top w:val="single" w:color="auto" w:sz="4" w:space="0"/>
              <w:left w:val="single" w:color="auto" w:sz="4" w:space="0"/>
              <w:bottom w:val="single" w:color="auto" w:sz="4" w:space="0"/>
              <w:right w:val="single" w:color="auto" w:sz="4" w:space="0"/>
            </w:tcBorders>
            <w:vAlign w:val="center"/>
          </w:tcPr>
          <w:p w14:paraId="76161876">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职责分工</w:t>
            </w:r>
          </w:p>
        </w:tc>
        <w:tc>
          <w:tcPr>
            <w:tcW w:w="650" w:type="pct"/>
            <w:tcBorders>
              <w:top w:val="single" w:color="auto" w:sz="4" w:space="0"/>
              <w:left w:val="single" w:color="auto" w:sz="4" w:space="0"/>
              <w:bottom w:val="single" w:color="auto" w:sz="4" w:space="0"/>
              <w:right w:val="single" w:color="auto" w:sz="4" w:space="0"/>
            </w:tcBorders>
            <w:vAlign w:val="center"/>
          </w:tcPr>
          <w:p w14:paraId="2D39FDBD">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姓名</w:t>
            </w:r>
          </w:p>
        </w:tc>
        <w:tc>
          <w:tcPr>
            <w:tcW w:w="435" w:type="pct"/>
            <w:tcBorders>
              <w:top w:val="single" w:color="auto" w:sz="4" w:space="0"/>
              <w:left w:val="single" w:color="auto" w:sz="4" w:space="0"/>
              <w:bottom w:val="single" w:color="auto" w:sz="4" w:space="0"/>
              <w:right w:val="single" w:color="auto" w:sz="4" w:space="0"/>
            </w:tcBorders>
            <w:vAlign w:val="center"/>
          </w:tcPr>
          <w:p w14:paraId="386A525D">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专业</w:t>
            </w:r>
          </w:p>
        </w:tc>
        <w:tc>
          <w:tcPr>
            <w:tcW w:w="435" w:type="pct"/>
            <w:tcBorders>
              <w:top w:val="single" w:color="auto" w:sz="4" w:space="0"/>
              <w:left w:val="single" w:color="auto" w:sz="4" w:space="0"/>
              <w:bottom w:val="single" w:color="auto" w:sz="4" w:space="0"/>
              <w:right w:val="single" w:color="auto" w:sz="4" w:space="0"/>
            </w:tcBorders>
            <w:vAlign w:val="center"/>
          </w:tcPr>
          <w:p w14:paraId="661D15CA">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职务</w:t>
            </w:r>
          </w:p>
        </w:tc>
        <w:tc>
          <w:tcPr>
            <w:tcW w:w="1066" w:type="pct"/>
            <w:tcBorders>
              <w:top w:val="single" w:color="auto" w:sz="4" w:space="0"/>
              <w:left w:val="single" w:color="auto" w:sz="4" w:space="0"/>
              <w:bottom w:val="single" w:color="auto" w:sz="4" w:space="0"/>
              <w:right w:val="single" w:color="auto" w:sz="4" w:space="0"/>
            </w:tcBorders>
            <w:vAlign w:val="center"/>
          </w:tcPr>
          <w:p w14:paraId="0D605535">
            <w:pPr>
              <w:keepNext w:val="0"/>
              <w:keepLines w:val="0"/>
              <w:widowControl/>
              <w:suppressLineNumbers w:val="0"/>
              <w:spacing w:before="0" w:beforeAutospacing="0" w:after="0" w:afterAutospacing="0" w:line="240" w:lineRule="auto"/>
              <w:ind w:left="0" w:right="0"/>
              <w:jc w:val="center"/>
              <w:rPr>
                <w:rFonts w:hint="default" w:ascii="宋体" w:hAnsi="宋体" w:cs="宋体"/>
                <w:b/>
                <w:color w:val="auto"/>
                <w:highlight w:val="none"/>
              </w:rPr>
            </w:pPr>
            <w:r>
              <w:rPr>
                <w:rFonts w:hint="eastAsia" w:ascii="宋体" w:hAnsi="宋体" w:cs="宋体"/>
                <w:b/>
                <w:color w:val="auto"/>
                <w:highlight w:val="none"/>
              </w:rPr>
              <w:t>曾主持/参与的</w:t>
            </w:r>
          </w:p>
          <w:p w14:paraId="17B8EA9F">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highlight w:val="none"/>
              </w:rPr>
            </w:pPr>
            <w:r>
              <w:rPr>
                <w:rFonts w:hint="eastAsia" w:ascii="宋体" w:hAnsi="宋体" w:cs="宋体"/>
                <w:b/>
                <w:color w:val="auto"/>
                <w:highlight w:val="none"/>
              </w:rPr>
              <w:t>同类项目经验</w:t>
            </w:r>
          </w:p>
        </w:tc>
        <w:tc>
          <w:tcPr>
            <w:tcW w:w="919" w:type="pct"/>
            <w:tcBorders>
              <w:top w:val="single" w:color="auto" w:sz="4" w:space="0"/>
              <w:left w:val="single" w:color="auto" w:sz="4" w:space="0"/>
              <w:bottom w:val="single" w:color="auto" w:sz="4" w:space="0"/>
              <w:right w:val="single" w:color="auto" w:sz="4" w:space="0"/>
            </w:tcBorders>
            <w:vAlign w:val="center"/>
          </w:tcPr>
          <w:p w14:paraId="4D7B29F5">
            <w:pPr>
              <w:keepNext w:val="0"/>
              <w:keepLines w:val="0"/>
              <w:widowControl/>
              <w:suppressLineNumbers w:val="0"/>
              <w:spacing w:before="0" w:beforeAutospacing="0" w:after="0" w:afterAutospacing="0" w:line="240" w:lineRule="auto"/>
              <w:ind w:left="0" w:right="0"/>
              <w:jc w:val="center"/>
              <w:rPr>
                <w:rFonts w:hint="default" w:ascii="宋体" w:hAnsi="宋体" w:cs="宋体"/>
                <w:b/>
                <w:color w:val="auto"/>
                <w:highlight w:val="none"/>
              </w:rPr>
            </w:pPr>
            <w:r>
              <w:rPr>
                <w:rFonts w:hint="eastAsia" w:ascii="宋体" w:hAnsi="宋体" w:cs="宋体"/>
                <w:b/>
                <w:color w:val="auto"/>
                <w:highlight w:val="none"/>
              </w:rPr>
              <w:t>职称及注册证书编号</w:t>
            </w:r>
          </w:p>
        </w:tc>
        <w:tc>
          <w:tcPr>
            <w:tcW w:w="650" w:type="pct"/>
            <w:tcBorders>
              <w:top w:val="single" w:color="auto" w:sz="4" w:space="0"/>
              <w:left w:val="single" w:color="auto" w:sz="4" w:space="0"/>
              <w:bottom w:val="single" w:color="auto" w:sz="4" w:space="0"/>
              <w:right w:val="single" w:color="auto" w:sz="4" w:space="0"/>
            </w:tcBorders>
            <w:vAlign w:val="center"/>
          </w:tcPr>
          <w:p w14:paraId="70A63E46">
            <w:pPr>
              <w:keepNext w:val="0"/>
              <w:keepLines w:val="0"/>
              <w:widowControl/>
              <w:suppressLineNumbers w:val="0"/>
              <w:spacing w:before="0" w:beforeAutospacing="0" w:after="0" w:afterAutospacing="0" w:line="360" w:lineRule="auto"/>
              <w:ind w:left="0" w:right="0" w:firstLine="12"/>
              <w:jc w:val="center"/>
              <w:rPr>
                <w:rFonts w:hint="default" w:ascii="宋体" w:hAnsi="宋体" w:cs="宋体"/>
                <w:b/>
                <w:color w:val="auto"/>
                <w:highlight w:val="none"/>
              </w:rPr>
            </w:pPr>
            <w:r>
              <w:rPr>
                <w:rFonts w:hint="eastAsia" w:ascii="宋体" w:hAnsi="宋体" w:cs="宋体"/>
                <w:b/>
                <w:color w:val="auto"/>
                <w:highlight w:val="none"/>
              </w:rPr>
              <w:t>联系电话</w:t>
            </w:r>
          </w:p>
        </w:tc>
      </w:tr>
      <w:tr w14:paraId="02C7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exact"/>
          <w:jc w:val="center"/>
        </w:trPr>
        <w:tc>
          <w:tcPr>
            <w:tcW w:w="843" w:type="pct"/>
            <w:tcBorders>
              <w:top w:val="single" w:color="auto" w:sz="4" w:space="0"/>
              <w:left w:val="single" w:color="auto" w:sz="4" w:space="0"/>
              <w:bottom w:val="nil"/>
              <w:right w:val="single" w:color="auto" w:sz="4" w:space="0"/>
            </w:tcBorders>
            <w:vAlign w:val="center"/>
          </w:tcPr>
          <w:p w14:paraId="1DA676C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项目负责人</w:t>
            </w:r>
          </w:p>
        </w:tc>
        <w:tc>
          <w:tcPr>
            <w:tcW w:w="650" w:type="pct"/>
            <w:tcBorders>
              <w:top w:val="single" w:color="auto" w:sz="4" w:space="0"/>
              <w:left w:val="single" w:color="auto" w:sz="4" w:space="0"/>
              <w:bottom w:val="nil"/>
              <w:right w:val="single" w:color="auto" w:sz="4" w:space="0"/>
            </w:tcBorders>
            <w:vAlign w:val="center"/>
          </w:tcPr>
          <w:p w14:paraId="2EB7FA8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nil"/>
              <w:right w:val="single" w:color="auto" w:sz="4" w:space="0"/>
            </w:tcBorders>
            <w:vAlign w:val="center"/>
          </w:tcPr>
          <w:p w14:paraId="4283D4E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nil"/>
              <w:right w:val="single" w:color="auto" w:sz="4" w:space="0"/>
            </w:tcBorders>
            <w:vAlign w:val="center"/>
          </w:tcPr>
          <w:p w14:paraId="365B5DF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nil"/>
              <w:right w:val="single" w:color="auto" w:sz="4" w:space="0"/>
            </w:tcBorders>
            <w:vAlign w:val="center"/>
          </w:tcPr>
          <w:p w14:paraId="7BBDE928">
            <w:pPr>
              <w:pStyle w:val="36"/>
              <w:keepNext w:val="0"/>
              <w:keepLines w:val="0"/>
              <w:suppressLineNumbers w:val="0"/>
              <w:adjustRightInd/>
              <w:spacing w:before="0" w:beforeAutospacing="0" w:after="0" w:afterAutospacing="0" w:line="360" w:lineRule="auto"/>
              <w:ind w:left="0" w:right="0"/>
              <w:rPr>
                <w:rFonts w:hint="default" w:ascii="宋体" w:hAnsi="宋体" w:cs="宋体"/>
                <w:color w:val="auto"/>
                <w:spacing w:val="0"/>
                <w:kern w:val="2"/>
                <w:sz w:val="21"/>
                <w:szCs w:val="21"/>
                <w:highlight w:val="none"/>
              </w:rPr>
            </w:pPr>
          </w:p>
        </w:tc>
        <w:tc>
          <w:tcPr>
            <w:tcW w:w="919" w:type="pct"/>
            <w:tcBorders>
              <w:top w:val="single" w:color="auto" w:sz="4" w:space="0"/>
              <w:left w:val="single" w:color="auto" w:sz="4" w:space="0"/>
              <w:bottom w:val="nil"/>
              <w:right w:val="single" w:color="auto" w:sz="4" w:space="0"/>
            </w:tcBorders>
            <w:vAlign w:val="center"/>
          </w:tcPr>
          <w:p w14:paraId="45E719E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nil"/>
              <w:right w:val="single" w:color="auto" w:sz="4" w:space="0"/>
            </w:tcBorders>
            <w:vAlign w:val="center"/>
          </w:tcPr>
          <w:p w14:paraId="52A0D868">
            <w:pPr>
              <w:keepNext w:val="0"/>
              <w:keepLines w:val="0"/>
              <w:widowControl/>
              <w:suppressLineNumbers w:val="0"/>
              <w:spacing w:before="0" w:beforeAutospacing="0" w:after="0" w:afterAutospacing="0" w:line="360" w:lineRule="auto"/>
              <w:ind w:left="0" w:right="0" w:firstLine="12"/>
              <w:jc w:val="center"/>
              <w:rPr>
                <w:rFonts w:hint="default" w:ascii="宋体" w:hAnsi="宋体" w:cs="宋体"/>
                <w:color w:val="auto"/>
                <w:highlight w:val="none"/>
              </w:rPr>
            </w:pPr>
          </w:p>
        </w:tc>
      </w:tr>
      <w:tr w14:paraId="7FC84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restart"/>
            <w:tcBorders>
              <w:top w:val="single" w:color="auto" w:sz="4" w:space="0"/>
              <w:left w:val="single" w:color="auto" w:sz="4" w:space="0"/>
              <w:bottom w:val="single" w:color="auto" w:sz="4" w:space="0"/>
              <w:right w:val="single" w:color="auto" w:sz="4" w:space="0"/>
            </w:tcBorders>
            <w:vAlign w:val="center"/>
          </w:tcPr>
          <w:p w14:paraId="7D24D18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主要技术人员</w:t>
            </w:r>
          </w:p>
        </w:tc>
        <w:tc>
          <w:tcPr>
            <w:tcW w:w="650" w:type="pct"/>
            <w:tcBorders>
              <w:top w:val="single" w:color="auto" w:sz="4" w:space="0"/>
              <w:left w:val="single" w:color="auto" w:sz="4" w:space="0"/>
              <w:bottom w:val="single" w:color="auto" w:sz="4" w:space="0"/>
              <w:right w:val="single" w:color="auto" w:sz="4" w:space="0"/>
            </w:tcBorders>
            <w:vAlign w:val="center"/>
          </w:tcPr>
          <w:p w14:paraId="63E012D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25FE093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64E8DF0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4B8D8FC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069A848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39A4C58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002F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2C0DD0D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12EB280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0749CA6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7E40802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7ECD086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530227C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73DA078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3C98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1EBB032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p w14:paraId="5FB6249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15E760B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45BC9AA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6EFA631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46AE0AE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55431B4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772619F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1D46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7FFBD65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5DCDFA3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7C70FFD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57B479B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6D47A1F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4304C1D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381667D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5EB2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1044D3C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4F686F7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66DD4F0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34B3846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4E34B62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780684D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32E3C5D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48B1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05A7C4E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619FCC3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3C61278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504476F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40ADAB1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5BB22A1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5E21338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3425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7BD64FC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7AC2153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2F86D02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7EC04A2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52436CA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4044EA5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654FC0A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0D001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6C29819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05983D8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2EE74E6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5907CC0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5995585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537080A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604FB9E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4619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15EE1AD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76253F5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6D900F4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1BFED6E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7329C54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052EC10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4886BBD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1BEE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843" w:type="pct"/>
            <w:vMerge w:val="continue"/>
            <w:tcBorders>
              <w:top w:val="single" w:color="auto" w:sz="4" w:space="0"/>
              <w:left w:val="single" w:color="auto" w:sz="4" w:space="0"/>
              <w:bottom w:val="single" w:color="auto" w:sz="4" w:space="0"/>
              <w:right w:val="single" w:color="auto" w:sz="4" w:space="0"/>
            </w:tcBorders>
            <w:vAlign w:val="center"/>
          </w:tcPr>
          <w:p w14:paraId="738CB2E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5CDA640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w:t>
            </w:r>
          </w:p>
        </w:tc>
        <w:tc>
          <w:tcPr>
            <w:tcW w:w="435" w:type="pct"/>
            <w:tcBorders>
              <w:top w:val="single" w:color="auto" w:sz="4" w:space="0"/>
              <w:left w:val="single" w:color="auto" w:sz="4" w:space="0"/>
              <w:bottom w:val="single" w:color="auto" w:sz="4" w:space="0"/>
              <w:right w:val="single" w:color="auto" w:sz="4" w:space="0"/>
            </w:tcBorders>
            <w:vAlign w:val="center"/>
          </w:tcPr>
          <w:p w14:paraId="302076D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284F03A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105C139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32261BF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1D48539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r w14:paraId="45E1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843" w:type="pct"/>
            <w:tcBorders>
              <w:left w:val="single" w:color="auto" w:sz="4" w:space="0"/>
              <w:bottom w:val="single" w:color="auto" w:sz="4" w:space="0"/>
              <w:right w:val="single" w:color="auto" w:sz="4" w:space="0"/>
            </w:tcBorders>
            <w:vAlign w:val="center"/>
          </w:tcPr>
          <w:p w14:paraId="7ADF7009">
            <w:pPr>
              <w:keepNext w:val="0"/>
              <w:keepLines w:val="0"/>
              <w:widowControl/>
              <w:suppressLineNumbers w:val="0"/>
              <w:spacing w:before="0" w:beforeAutospacing="0" w:after="0" w:afterAutospacing="0" w:line="360" w:lineRule="auto"/>
              <w:ind w:left="0" w:right="0"/>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6904B36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r>
              <w:rPr>
                <w:rFonts w:hint="eastAsia" w:ascii="宋体" w:hAnsi="宋体" w:cs="宋体"/>
                <w:color w:val="auto"/>
                <w:highlight w:val="none"/>
              </w:rPr>
              <w:t>…</w:t>
            </w:r>
          </w:p>
        </w:tc>
        <w:tc>
          <w:tcPr>
            <w:tcW w:w="435" w:type="pct"/>
            <w:tcBorders>
              <w:top w:val="single" w:color="auto" w:sz="4" w:space="0"/>
              <w:left w:val="single" w:color="auto" w:sz="4" w:space="0"/>
              <w:bottom w:val="single" w:color="auto" w:sz="4" w:space="0"/>
              <w:right w:val="single" w:color="auto" w:sz="4" w:space="0"/>
            </w:tcBorders>
            <w:vAlign w:val="center"/>
          </w:tcPr>
          <w:p w14:paraId="6E59B12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3D33278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1066" w:type="pct"/>
            <w:tcBorders>
              <w:top w:val="single" w:color="auto" w:sz="4" w:space="0"/>
              <w:left w:val="single" w:color="auto" w:sz="4" w:space="0"/>
              <w:bottom w:val="single" w:color="auto" w:sz="4" w:space="0"/>
              <w:right w:val="single" w:color="auto" w:sz="4" w:space="0"/>
            </w:tcBorders>
            <w:vAlign w:val="center"/>
          </w:tcPr>
          <w:p w14:paraId="426615E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919" w:type="pct"/>
            <w:tcBorders>
              <w:top w:val="single" w:color="auto" w:sz="4" w:space="0"/>
              <w:left w:val="single" w:color="auto" w:sz="4" w:space="0"/>
              <w:bottom w:val="single" w:color="auto" w:sz="4" w:space="0"/>
              <w:right w:val="single" w:color="auto" w:sz="4" w:space="0"/>
            </w:tcBorders>
            <w:vAlign w:val="center"/>
          </w:tcPr>
          <w:p w14:paraId="3A2DC7C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c>
          <w:tcPr>
            <w:tcW w:w="650" w:type="pct"/>
            <w:tcBorders>
              <w:top w:val="single" w:color="auto" w:sz="4" w:space="0"/>
              <w:left w:val="single" w:color="auto" w:sz="4" w:space="0"/>
              <w:bottom w:val="single" w:color="auto" w:sz="4" w:space="0"/>
              <w:right w:val="single" w:color="auto" w:sz="4" w:space="0"/>
            </w:tcBorders>
            <w:vAlign w:val="center"/>
          </w:tcPr>
          <w:p w14:paraId="62E9183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highlight w:val="none"/>
              </w:rPr>
            </w:pPr>
          </w:p>
        </w:tc>
      </w:tr>
    </w:tbl>
    <w:p w14:paraId="075146CF">
      <w:pPr>
        <w:spacing w:line="360" w:lineRule="auto"/>
        <w:ind w:firstLine="420" w:firstLineChars="200"/>
        <w:rPr>
          <w:rFonts w:ascii="宋体" w:hAnsi="宋体" w:cs="宋体"/>
          <w:color w:val="auto"/>
          <w:highlight w:val="none"/>
          <w:lang w:val="en-GB"/>
        </w:rPr>
      </w:pPr>
      <w:r>
        <w:rPr>
          <w:rFonts w:hint="eastAsia" w:ascii="宋体" w:hAnsi="宋体" w:cs="宋体"/>
          <w:color w:val="auto"/>
          <w:highlight w:val="none"/>
          <w:lang w:val="en-GB"/>
        </w:rPr>
        <w:t>注：</w:t>
      </w:r>
      <w:r>
        <w:rPr>
          <w:rFonts w:hint="eastAsia" w:ascii="宋体" w:hAnsi="宋体" w:cs="宋体"/>
          <w:color w:val="auto"/>
          <w:highlight w:val="none"/>
        </w:rPr>
        <w:t>提供以上人员的相关身份证、职称证书、注册证书及其在参选公司任职的外部证明材料（本项目参选截止日之前三个月内任意一个月的</w:t>
      </w:r>
      <w:r>
        <w:rPr>
          <w:color w:val="auto"/>
          <w:highlight w:val="none"/>
        </w:rPr>
        <w:t>社保缴存证明（新成立公司如无法提供缴存证明的，需提供相关证明文件）</w:t>
      </w:r>
      <w:r>
        <w:rPr>
          <w:rFonts w:hint="eastAsia" w:ascii="宋体" w:hAnsi="宋体" w:cs="宋体"/>
          <w:color w:val="auto"/>
          <w:highlight w:val="none"/>
        </w:rPr>
        <w:t>）</w:t>
      </w:r>
    </w:p>
    <w:p w14:paraId="43D9A4A4">
      <w:pPr>
        <w:adjustRightInd w:val="0"/>
        <w:snapToGrid w:val="0"/>
        <w:spacing w:line="360" w:lineRule="auto"/>
        <w:rPr>
          <w:rFonts w:ascii="宋体" w:hAnsi="宋体" w:cs="宋体"/>
          <w:color w:val="auto"/>
          <w:highlight w:val="none"/>
        </w:rPr>
      </w:pPr>
    </w:p>
    <w:p w14:paraId="7B751AAA">
      <w:pPr>
        <w:tabs>
          <w:tab w:val="left" w:pos="540"/>
        </w:tabs>
        <w:spacing w:line="360" w:lineRule="auto"/>
        <w:rPr>
          <w:rFonts w:ascii="宋体" w:hAnsi="宋体" w:cs="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.3 其它重要事项说明及承诺（如有，请扼要叙述）</w:t>
      </w:r>
    </w:p>
    <w:p w14:paraId="724257C7">
      <w:pPr>
        <w:pStyle w:val="6"/>
        <w:spacing w:line="360" w:lineRule="auto"/>
        <w:rPr>
          <w:rFonts w:ascii="宋体" w:hAnsi="宋体" w:cs="宋体"/>
          <w:color w:val="auto"/>
          <w:highlight w:val="none"/>
        </w:rPr>
      </w:pPr>
    </w:p>
    <w:p w14:paraId="0CC10D68">
      <w:pPr>
        <w:pStyle w:val="6"/>
        <w:spacing w:line="360" w:lineRule="auto"/>
        <w:rPr>
          <w:rFonts w:ascii="宋体" w:hAnsi="宋体" w:cs="宋体"/>
          <w:color w:val="auto"/>
          <w:highlight w:val="none"/>
        </w:rPr>
      </w:pPr>
    </w:p>
    <w:p w14:paraId="78C4B754">
      <w:pPr>
        <w:pStyle w:val="6"/>
        <w:spacing w:line="360" w:lineRule="auto"/>
        <w:rPr>
          <w:rFonts w:ascii="宋体" w:hAnsi="宋体" w:cs="宋体"/>
          <w:color w:val="auto"/>
          <w:highlight w:val="none"/>
        </w:rPr>
      </w:pPr>
    </w:p>
    <w:p w14:paraId="17FB03A6">
      <w:pPr>
        <w:pStyle w:val="6"/>
        <w:spacing w:line="360" w:lineRule="auto"/>
        <w:rPr>
          <w:rFonts w:ascii="宋体" w:hAnsi="宋体" w:cs="宋体"/>
          <w:color w:val="auto"/>
          <w:highlight w:val="none"/>
        </w:rPr>
      </w:pPr>
    </w:p>
    <w:p w14:paraId="60E95FEB">
      <w:pPr>
        <w:rPr>
          <w:rFonts w:ascii="宋体" w:hAnsi="宋体" w:eastAsia="宋体" w:cs="宋体"/>
          <w:b/>
          <w:bCs w:val="0"/>
          <w:color w:val="auto"/>
          <w:sz w:val="21"/>
          <w:szCs w:val="21"/>
          <w:highlight w:val="none"/>
          <w:lang w:val="en-US" w:eastAsia="zh-CN" w:bidi="ar-SA"/>
        </w:rPr>
      </w:pPr>
      <w:bookmarkStart w:id="1441" w:name="_Toc508619373"/>
      <w:bookmarkStart w:id="1442" w:name="_Toc13378"/>
      <w:bookmarkStart w:id="1443" w:name="_Toc510104799"/>
      <w:bookmarkStart w:id="1444" w:name="_Toc18325"/>
      <w:bookmarkStart w:id="1445" w:name="_Toc24011"/>
      <w:bookmarkStart w:id="1446" w:name="_Toc522036014"/>
      <w:bookmarkStart w:id="1447" w:name="_Toc535418272"/>
      <w:bookmarkStart w:id="1448" w:name="_Toc484599515"/>
      <w:bookmarkStart w:id="1449" w:name="_Toc508036033"/>
      <w:bookmarkStart w:id="1450" w:name="_Toc511293865"/>
      <w:bookmarkStart w:id="1451" w:name="_Toc513630895"/>
      <w:bookmarkStart w:id="1452" w:name="_Toc17219"/>
      <w:bookmarkStart w:id="1453" w:name="_Toc528659822"/>
      <w:bookmarkStart w:id="1454" w:name="_Toc475522388"/>
      <w:bookmarkStart w:id="1455" w:name="_Toc513112112"/>
      <w:bookmarkStart w:id="1456" w:name="_Toc20942"/>
      <w:bookmarkStart w:id="1457" w:name="_Toc2565"/>
      <w:bookmarkStart w:id="1458" w:name="_Toc500260815"/>
      <w:bookmarkStart w:id="1459" w:name="_Toc13444"/>
      <w:r>
        <w:rPr>
          <w:rFonts w:ascii="宋体" w:hAnsi="宋体" w:eastAsia="宋体" w:cs="宋体"/>
          <w:b/>
          <w:bCs w:val="0"/>
          <w:color w:val="auto"/>
          <w:sz w:val="21"/>
          <w:szCs w:val="21"/>
          <w:highlight w:val="none"/>
          <w:lang w:val="en-US" w:eastAsia="zh-CN" w:bidi="ar-SA"/>
        </w:rPr>
        <w:br w:type="page"/>
      </w:r>
    </w:p>
    <w:p w14:paraId="25B999D5">
      <w:pPr>
        <w:pStyle w:val="4"/>
        <w:keepLines w:val="0"/>
        <w:widowControl w:val="0"/>
        <w:numPr>
          <w:ilvl w:val="0"/>
          <w:numId w:val="0"/>
        </w:numPr>
        <w:tabs>
          <w:tab w:val="left" w:pos="851"/>
        </w:tabs>
        <w:adjustRightInd/>
        <w:snapToGrid/>
        <w:spacing w:line="360" w:lineRule="auto"/>
        <w:ind w:left="851" w:leftChars="0" w:hanging="851" w:firstLineChars="0"/>
        <w:jc w:val="both"/>
        <w:rPr>
          <w:rFonts w:hAnsi="宋体" w:cs="宋体"/>
          <w:b/>
          <w:bCs/>
          <w:color w:val="auto"/>
          <w:sz w:val="21"/>
          <w:szCs w:val="21"/>
          <w:highlight w:val="none"/>
        </w:rPr>
      </w:pPr>
      <w:bookmarkStart w:id="1460" w:name="_Toc7320"/>
      <w:r>
        <w:rPr>
          <w:rFonts w:hint="eastAsia" w:hAnsi="宋体" w:cs="宋体"/>
          <w:b/>
          <w:bCs w:val="0"/>
          <w:color w:val="auto"/>
          <w:sz w:val="21"/>
          <w:szCs w:val="21"/>
          <w:highlight w:val="none"/>
          <w:lang w:val="en-US" w:eastAsia="zh-CN" w:bidi="ar-SA"/>
        </w:rPr>
        <w:t>9</w:t>
      </w:r>
      <w:r>
        <w:rPr>
          <w:rFonts w:ascii="宋体" w:hAnsi="宋体" w:eastAsia="宋体" w:cs="宋体"/>
          <w:b/>
          <w:bCs w:val="0"/>
          <w:color w:val="auto"/>
          <w:sz w:val="21"/>
          <w:szCs w:val="21"/>
          <w:highlight w:val="none"/>
          <w:lang w:val="en-US" w:eastAsia="zh-CN" w:bidi="ar-SA"/>
        </w:rPr>
        <w:t>.</w:t>
      </w:r>
      <w:r>
        <w:rPr>
          <w:rFonts w:hint="eastAsia" w:hAnsi="宋体" w:cs="宋体"/>
          <w:b/>
          <w:bCs w:val="0"/>
          <w:color w:val="auto"/>
          <w:sz w:val="21"/>
          <w:szCs w:val="21"/>
          <w:highlight w:val="none"/>
          <w:lang w:val="en-US" w:eastAsia="zh-CN" w:bidi="ar-SA"/>
        </w:rPr>
        <w:t xml:space="preserve"> </w:t>
      </w:r>
      <w:r>
        <w:rPr>
          <w:rFonts w:hint="eastAsia" w:hAnsi="宋体" w:cs="宋体"/>
          <w:b/>
          <w:bCs/>
          <w:color w:val="auto"/>
          <w:sz w:val="21"/>
          <w:szCs w:val="21"/>
          <w:highlight w:val="none"/>
        </w:rPr>
        <w:t>参选人认为有必要说明的其他资料</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A055978">
      <w:pPr>
        <w:pStyle w:val="4"/>
        <w:keepLines w:val="0"/>
        <w:widowControl w:val="0"/>
        <w:numPr>
          <w:ilvl w:val="0"/>
          <w:numId w:val="0"/>
        </w:numPr>
        <w:tabs>
          <w:tab w:val="left" w:pos="851"/>
        </w:tabs>
        <w:adjustRightInd/>
        <w:snapToGrid/>
        <w:spacing w:line="360" w:lineRule="auto"/>
        <w:ind w:left="851" w:leftChars="0" w:hanging="851" w:firstLineChars="0"/>
        <w:jc w:val="both"/>
        <w:rPr>
          <w:rFonts w:ascii="宋体" w:hAnsi="宋体" w:eastAsia="宋体" w:cs="宋体"/>
          <w:b/>
          <w:bCs w:val="0"/>
          <w:color w:val="auto"/>
          <w:sz w:val="21"/>
          <w:szCs w:val="21"/>
          <w:highlight w:val="none"/>
          <w:lang w:val="en-US" w:eastAsia="zh-CN" w:bidi="ar-SA"/>
        </w:rPr>
      </w:pPr>
      <w:bookmarkStart w:id="1461" w:name="_Toc461608941"/>
      <w:bookmarkStart w:id="1462" w:name="_Toc10295"/>
      <w:bookmarkStart w:id="1463" w:name="_Toc16050"/>
      <w:bookmarkStart w:id="1464" w:name="_Toc535418274"/>
      <w:bookmarkStart w:id="1465" w:name="_Toc522036016"/>
      <w:bookmarkStart w:id="1466" w:name="_Toc508619376"/>
      <w:bookmarkStart w:id="1467" w:name="_Toc510104802"/>
      <w:bookmarkStart w:id="1468" w:name="_Toc511293868"/>
      <w:bookmarkStart w:id="1469" w:name="_Toc459708504"/>
      <w:bookmarkStart w:id="1470" w:name="_Toc256676965"/>
      <w:bookmarkStart w:id="1471" w:name="_Toc528659824"/>
      <w:bookmarkStart w:id="1472" w:name="_Toc484599518"/>
      <w:bookmarkStart w:id="1473" w:name="_Toc674"/>
      <w:bookmarkStart w:id="1474" w:name="_Toc500260818"/>
      <w:bookmarkStart w:id="1475" w:name="_Toc513112114"/>
      <w:bookmarkStart w:id="1476" w:name="_Toc18067"/>
      <w:bookmarkStart w:id="1477" w:name="_Toc458791455"/>
      <w:bookmarkStart w:id="1478" w:name="_Toc513630897"/>
      <w:bookmarkStart w:id="1479" w:name="_Toc11369"/>
      <w:bookmarkStart w:id="1480" w:name="_Toc1973"/>
      <w:bookmarkStart w:id="1481" w:name="_Toc508036036"/>
      <w:bookmarkStart w:id="1482" w:name="_Toc475522391"/>
      <w:bookmarkStart w:id="1483" w:name="_Toc475578776"/>
    </w:p>
    <w:p w14:paraId="4E9DDCBA">
      <w:pPr>
        <w:pStyle w:val="4"/>
        <w:keepLines w:val="0"/>
        <w:widowControl w:val="0"/>
        <w:numPr>
          <w:ilvl w:val="0"/>
          <w:numId w:val="0"/>
        </w:numPr>
        <w:tabs>
          <w:tab w:val="left" w:pos="851"/>
        </w:tabs>
        <w:adjustRightInd/>
        <w:snapToGrid/>
        <w:spacing w:line="360" w:lineRule="auto"/>
        <w:ind w:left="851" w:leftChars="0" w:hanging="851" w:firstLineChars="0"/>
        <w:jc w:val="both"/>
        <w:rPr>
          <w:rFonts w:hAnsi="宋体" w:cs="宋体"/>
          <w:b/>
          <w:bCs/>
          <w:color w:val="auto"/>
          <w:sz w:val="21"/>
          <w:szCs w:val="21"/>
          <w:highlight w:val="none"/>
        </w:rPr>
      </w:pPr>
      <w:r>
        <w:rPr>
          <w:rFonts w:hint="eastAsia" w:hAnsi="宋体" w:cs="宋体"/>
          <w:b/>
          <w:bCs/>
          <w:color w:val="auto"/>
          <w:sz w:val="21"/>
          <w:szCs w:val="21"/>
          <w:highlight w:val="none"/>
          <w:lang w:val="en-GB"/>
        </w:rPr>
        <w:br w:type="page"/>
      </w:r>
      <w:bookmarkStart w:id="1484" w:name="_Toc22382"/>
      <w:bookmarkStart w:id="1485" w:name="_Toc30443"/>
      <w:r>
        <w:rPr>
          <w:rFonts w:hint="eastAsia" w:hAnsi="宋体" w:cs="宋体"/>
          <w:b/>
          <w:bCs/>
          <w:color w:val="auto"/>
          <w:sz w:val="21"/>
          <w:szCs w:val="21"/>
          <w:highlight w:val="none"/>
          <w:lang w:val="en-US" w:eastAsia="zh-CN"/>
        </w:rPr>
        <w:t xml:space="preserve">10. </w:t>
      </w:r>
      <w:r>
        <w:rPr>
          <w:rFonts w:hint="eastAsia" w:hAnsi="宋体" w:cs="宋体"/>
          <w:b/>
          <w:bCs/>
          <w:color w:val="auto"/>
          <w:sz w:val="21"/>
          <w:szCs w:val="21"/>
          <w:highlight w:val="none"/>
        </w:rPr>
        <w:t>中选服务费支付承诺书格式</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E33EA2E">
      <w:pPr>
        <w:spacing w:line="360" w:lineRule="auto"/>
        <w:jc w:val="center"/>
        <w:rPr>
          <w:rFonts w:ascii="宋体" w:hAnsi="宋体" w:cs="宋体"/>
          <w:b/>
          <w:color w:val="auto"/>
          <w:highlight w:val="none"/>
        </w:rPr>
      </w:pPr>
      <w:r>
        <w:rPr>
          <w:rFonts w:hint="eastAsia" w:ascii="宋体" w:hAnsi="宋体" w:cs="宋体"/>
          <w:b/>
          <w:color w:val="auto"/>
          <w:highlight w:val="none"/>
        </w:rPr>
        <w:t>中选服务费支付承诺书</w:t>
      </w:r>
    </w:p>
    <w:p w14:paraId="780432BC">
      <w:pPr>
        <w:spacing w:line="360" w:lineRule="auto"/>
        <w:rPr>
          <w:rFonts w:ascii="宋体" w:hAnsi="宋体" w:cs="宋体"/>
          <w:color w:val="auto"/>
          <w:highlight w:val="none"/>
        </w:rPr>
      </w:pPr>
      <w:r>
        <w:rPr>
          <w:rFonts w:hint="eastAsia" w:ascii="宋体" w:hAnsi="宋体" w:cs="宋体"/>
          <w:color w:val="auto"/>
          <w:highlight w:val="none"/>
        </w:rPr>
        <w:t>致：广州中经招标有限公司</w:t>
      </w:r>
    </w:p>
    <w:p w14:paraId="0F96DC1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我司在贵司组织的</w:t>
      </w:r>
      <w:r>
        <w:rPr>
          <w:rFonts w:hint="eastAsia" w:ascii="宋体" w:hAnsi="宋体" w:cs="宋体"/>
          <w:color w:val="auto"/>
          <w:highlight w:val="none"/>
          <w:lang w:eastAsia="zh-CN"/>
        </w:rPr>
        <w:t>广州医科大学附属妇女儿童医疗中心增城院区生活垃圾清运服务项目（二次）</w:t>
      </w:r>
      <w:r>
        <w:rPr>
          <w:rFonts w:hint="eastAsia" w:ascii="宋体" w:hAnsi="宋体" w:cs="宋体"/>
          <w:color w:val="auto"/>
          <w:highlight w:val="none"/>
        </w:rPr>
        <w:t>（项目编号：</w:t>
      </w:r>
      <w:r>
        <w:rPr>
          <w:rFonts w:hint="eastAsia" w:ascii="宋体" w:hAnsi="宋体" w:cs="宋体"/>
          <w:color w:val="auto"/>
          <w:highlight w:val="none"/>
          <w:lang w:eastAsia="zh-CN"/>
        </w:rPr>
        <w:t>GZZJ-FG-2026114</w:t>
      </w:r>
      <w:r>
        <w:rPr>
          <w:rFonts w:hint="eastAsia" w:ascii="宋体" w:hAnsi="宋体" w:cs="宋体"/>
          <w:color w:val="auto"/>
          <w:highlight w:val="none"/>
        </w:rPr>
        <w:t>）遴选中如获中选，我司保证在领取“中选通知书”前，按照</w:t>
      </w:r>
      <w:r>
        <w:rPr>
          <w:rFonts w:hint="eastAsia" w:ascii="宋体" w:hAnsi="宋体" w:cs="宋体"/>
          <w:bCs/>
          <w:color w:val="auto"/>
          <w:highlight w:val="none"/>
        </w:rPr>
        <w:t>遴选文件</w:t>
      </w:r>
      <w:r>
        <w:rPr>
          <w:rFonts w:hint="eastAsia" w:ascii="宋体" w:hAnsi="宋体" w:cs="宋体"/>
          <w:color w:val="auto"/>
          <w:highlight w:val="none"/>
        </w:rPr>
        <w:t>的相关规定向贵司缴纳中选服务费。</w:t>
      </w:r>
    </w:p>
    <w:p w14:paraId="0468776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特此承诺！</w:t>
      </w:r>
    </w:p>
    <w:p w14:paraId="21AFB407">
      <w:pPr>
        <w:spacing w:line="360" w:lineRule="auto"/>
        <w:rPr>
          <w:rFonts w:ascii="宋体" w:hAnsi="宋体" w:cs="宋体"/>
          <w:color w:val="auto"/>
          <w:highlight w:val="none"/>
        </w:rPr>
      </w:pPr>
    </w:p>
    <w:p w14:paraId="46C29FA4">
      <w:pPr>
        <w:keepNext w:val="0"/>
        <w:keepLines w:val="0"/>
        <w:pageBreakBefore w:val="0"/>
        <w:widowControl/>
        <w:kinsoku/>
        <w:wordWrap/>
        <w:overflowPunct/>
        <w:topLinePunct w:val="0"/>
        <w:autoSpaceDE/>
        <w:autoSpaceDN/>
        <w:bidi w:val="0"/>
        <w:adjustRightInd/>
        <w:snapToGrid/>
        <w:spacing w:line="288"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另：</w:t>
      </w:r>
    </w:p>
    <w:p w14:paraId="63680D83">
      <w:pPr>
        <w:keepNext w:val="0"/>
        <w:keepLines w:val="0"/>
        <w:pageBreakBefore w:val="0"/>
        <w:widowControl/>
        <w:kinsoku/>
        <w:wordWrap/>
        <w:overflowPunct/>
        <w:topLinePunct w:val="0"/>
        <w:autoSpaceDE/>
        <w:autoSpaceDN/>
        <w:bidi w:val="0"/>
        <w:adjustRightInd/>
        <w:snapToGrid/>
        <w:spacing w:line="288"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关于我司缴纳中选服务费后开具中选服务费发票的事宜，我司声明如下：</w:t>
      </w:r>
    </w:p>
    <w:p w14:paraId="7F2E3672">
      <w:pPr>
        <w:keepNext w:val="0"/>
        <w:keepLines w:val="0"/>
        <w:pageBreakBefore w:val="0"/>
        <w:widowControl/>
        <w:kinsoku/>
        <w:wordWrap/>
        <w:overflowPunct/>
        <w:topLinePunct w:val="0"/>
        <w:autoSpaceDE/>
        <w:autoSpaceDN/>
        <w:bidi w:val="0"/>
        <w:adjustRightInd/>
        <w:snapToGrid/>
        <w:spacing w:line="288"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t>于下方</w:t>
      </w:r>
      <w:r>
        <w:rPr>
          <w:rFonts w:hint="eastAsia" w:ascii="宋体" w:hAnsi="宋体" w:cs="宋体"/>
          <w:color w:val="auto"/>
          <w:highlight w:val="none"/>
        </w:rPr>
        <w:sym w:font="Wingdings" w:char="00A8"/>
      </w:r>
      <w:r>
        <w:rPr>
          <w:rFonts w:hint="eastAsia" w:ascii="宋体" w:hAnsi="宋体" w:cs="宋体"/>
          <w:color w:val="auto"/>
          <w:highlight w:val="none"/>
        </w:rPr>
        <w:t>打“√”：</w:t>
      </w:r>
    </w:p>
    <w:p w14:paraId="5C97F10E">
      <w:pPr>
        <w:keepNext w:val="0"/>
        <w:keepLines w:val="0"/>
        <w:pageBreakBefore w:val="0"/>
        <w:widowControl/>
        <w:kinsoku/>
        <w:wordWrap/>
        <w:overflowPunct/>
        <w:topLinePunct w:val="0"/>
        <w:autoSpaceDE/>
        <w:autoSpaceDN/>
        <w:bidi w:val="0"/>
        <w:adjustRightInd/>
        <w:snapToGrid/>
        <w:spacing w:line="288"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sym w:font="Wingdings" w:char="00A8"/>
      </w:r>
      <w:r>
        <w:rPr>
          <w:rFonts w:hint="eastAsia" w:ascii="宋体" w:hAnsi="宋体" w:cs="宋体"/>
          <w:color w:val="auto"/>
          <w:highlight w:val="none"/>
        </w:rPr>
        <w:t xml:space="preserve"> 请向我司开具中选服务费的“增值税普通发票”，开票信息如下：</w:t>
      </w:r>
    </w:p>
    <w:p w14:paraId="13C2DF44">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（1）企业名称：</w:t>
      </w:r>
      <w:r>
        <w:rPr>
          <w:rFonts w:hint="eastAsia" w:ascii="宋体" w:hAnsi="宋体" w:cs="宋体"/>
          <w:color w:val="auto"/>
          <w:highlight w:val="none"/>
          <w:u w:val="single"/>
        </w:rPr>
        <w:t xml:space="preserve">    </w:t>
      </w:r>
    </w:p>
    <w:p w14:paraId="1568CA42">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（2）纳税登记号：</w:t>
      </w:r>
      <w:r>
        <w:rPr>
          <w:rFonts w:hint="eastAsia" w:ascii="宋体" w:hAnsi="宋体" w:cs="宋体"/>
          <w:color w:val="auto"/>
          <w:highlight w:val="none"/>
          <w:u w:val="single"/>
        </w:rPr>
        <w:t xml:space="preserve">  </w:t>
      </w:r>
    </w:p>
    <w:p w14:paraId="2A91495F">
      <w:pPr>
        <w:keepNext w:val="0"/>
        <w:keepLines w:val="0"/>
        <w:pageBreakBefore w:val="0"/>
        <w:widowControl/>
        <w:kinsoku/>
        <w:wordWrap/>
        <w:overflowPunct/>
        <w:topLinePunct w:val="0"/>
        <w:autoSpaceDE/>
        <w:autoSpaceDN/>
        <w:bidi w:val="0"/>
        <w:adjustRightInd/>
        <w:snapToGrid/>
        <w:spacing w:line="288" w:lineRule="auto"/>
        <w:ind w:firstLine="420" w:firstLineChars="200"/>
        <w:textAlignment w:val="auto"/>
        <w:rPr>
          <w:rFonts w:ascii="宋体" w:hAnsi="宋体" w:cs="宋体"/>
          <w:color w:val="auto"/>
          <w:highlight w:val="none"/>
        </w:rPr>
      </w:pPr>
    </w:p>
    <w:p w14:paraId="124500BC">
      <w:pPr>
        <w:keepNext w:val="0"/>
        <w:keepLines w:val="0"/>
        <w:pageBreakBefore w:val="0"/>
        <w:widowControl/>
        <w:kinsoku/>
        <w:wordWrap/>
        <w:overflowPunct/>
        <w:topLinePunct w:val="0"/>
        <w:autoSpaceDE/>
        <w:autoSpaceDN/>
        <w:bidi w:val="0"/>
        <w:adjustRightInd/>
        <w:snapToGrid/>
        <w:spacing w:line="288" w:lineRule="auto"/>
        <w:ind w:firstLine="420" w:firstLineChars="200"/>
        <w:textAlignment w:val="auto"/>
        <w:rPr>
          <w:rFonts w:ascii="宋体" w:hAnsi="宋体" w:cs="宋体"/>
          <w:color w:val="auto"/>
          <w:highlight w:val="none"/>
        </w:rPr>
      </w:pPr>
      <w:r>
        <w:rPr>
          <w:rFonts w:hint="eastAsia" w:ascii="宋体" w:hAnsi="宋体" w:cs="宋体"/>
          <w:color w:val="auto"/>
          <w:highlight w:val="none"/>
        </w:rPr>
        <w:sym w:font="Wingdings" w:char="00A8"/>
      </w:r>
      <w:r>
        <w:rPr>
          <w:rFonts w:hint="eastAsia" w:ascii="宋体" w:hAnsi="宋体" w:cs="宋体"/>
          <w:color w:val="auto"/>
          <w:highlight w:val="none"/>
        </w:rPr>
        <w:t xml:space="preserve"> 请向我司开具中选服务费的“增值税专用发票”，开票信息为：</w:t>
      </w:r>
    </w:p>
    <w:p w14:paraId="1DA0F9BB">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（1）企业名称：</w:t>
      </w:r>
      <w:r>
        <w:rPr>
          <w:rFonts w:hint="eastAsia" w:ascii="宋体" w:hAnsi="宋体" w:cs="宋体"/>
          <w:color w:val="auto"/>
          <w:highlight w:val="none"/>
          <w:u w:val="single"/>
        </w:rPr>
        <w:t xml:space="preserve">   </w:t>
      </w:r>
    </w:p>
    <w:p w14:paraId="217C2940">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（2）纳税登记号：</w:t>
      </w:r>
      <w:r>
        <w:rPr>
          <w:rFonts w:hint="eastAsia" w:ascii="宋体" w:hAnsi="宋体" w:cs="宋体"/>
          <w:color w:val="auto"/>
          <w:highlight w:val="none"/>
          <w:u w:val="single"/>
        </w:rPr>
        <w:t xml:space="preserve">   </w:t>
      </w:r>
    </w:p>
    <w:p w14:paraId="0F43184C">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（3）企业地址：</w:t>
      </w:r>
      <w:r>
        <w:rPr>
          <w:rFonts w:hint="eastAsia" w:ascii="宋体" w:hAnsi="宋体" w:cs="宋体"/>
          <w:color w:val="auto"/>
          <w:highlight w:val="none"/>
          <w:u w:val="single"/>
        </w:rPr>
        <w:t xml:space="preserve">   </w:t>
      </w:r>
    </w:p>
    <w:p w14:paraId="2C75649D">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（4）办公电话（固话）：</w:t>
      </w:r>
      <w:r>
        <w:rPr>
          <w:rFonts w:hint="eastAsia" w:ascii="宋体" w:hAnsi="宋体" w:cs="宋体"/>
          <w:color w:val="auto"/>
          <w:highlight w:val="none"/>
          <w:u w:val="single"/>
        </w:rPr>
        <w:t xml:space="preserve">   </w:t>
      </w:r>
    </w:p>
    <w:p w14:paraId="3CE10D87">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（5）开户银行：</w:t>
      </w:r>
      <w:r>
        <w:rPr>
          <w:rFonts w:hint="eastAsia" w:ascii="宋体" w:hAnsi="宋体" w:cs="宋体"/>
          <w:color w:val="auto"/>
          <w:highlight w:val="none"/>
          <w:u w:val="single"/>
        </w:rPr>
        <w:t xml:space="preserve">  </w:t>
      </w:r>
    </w:p>
    <w:p w14:paraId="52840FC8">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u w:val="single"/>
        </w:rPr>
      </w:pPr>
      <w:r>
        <w:rPr>
          <w:rFonts w:hint="eastAsia" w:ascii="宋体" w:hAnsi="宋体" w:cs="宋体"/>
          <w:color w:val="auto"/>
          <w:highlight w:val="none"/>
        </w:rPr>
        <w:t>（6）账号：</w:t>
      </w:r>
      <w:r>
        <w:rPr>
          <w:rFonts w:hint="eastAsia" w:ascii="宋体" w:hAnsi="宋体" w:cs="宋体"/>
          <w:color w:val="auto"/>
          <w:highlight w:val="none"/>
          <w:u w:val="single"/>
        </w:rPr>
        <w:t xml:space="preserve"> </w:t>
      </w:r>
    </w:p>
    <w:p w14:paraId="2FCC8D97">
      <w:pPr>
        <w:keepNext w:val="0"/>
        <w:keepLines w:val="0"/>
        <w:pageBreakBefore w:val="0"/>
        <w:widowControl/>
        <w:kinsoku/>
        <w:wordWrap/>
        <w:overflowPunct/>
        <w:topLinePunct w:val="0"/>
        <w:autoSpaceDE/>
        <w:autoSpaceDN/>
        <w:bidi w:val="0"/>
        <w:adjustRightInd/>
        <w:snapToGrid/>
        <w:spacing w:line="288" w:lineRule="auto"/>
        <w:ind w:firstLine="840" w:firstLineChars="400"/>
        <w:textAlignment w:val="auto"/>
        <w:rPr>
          <w:rFonts w:ascii="宋体" w:hAnsi="宋体" w:cs="宋体"/>
          <w:color w:val="auto"/>
          <w:highlight w:val="none"/>
        </w:rPr>
      </w:pPr>
      <w:r>
        <w:rPr>
          <w:rFonts w:hint="eastAsia" w:ascii="宋体" w:hAnsi="宋体" w:cs="宋体"/>
          <w:color w:val="auto"/>
          <w:highlight w:val="none"/>
        </w:rPr>
        <w:t>特此声明！</w:t>
      </w:r>
    </w:p>
    <w:p w14:paraId="102D0B30">
      <w:pPr>
        <w:keepNext w:val="0"/>
        <w:keepLines w:val="0"/>
        <w:pageBreakBefore w:val="0"/>
        <w:widowControl/>
        <w:kinsoku/>
        <w:wordWrap/>
        <w:overflowPunct/>
        <w:topLinePunct w:val="0"/>
        <w:autoSpaceDE/>
        <w:autoSpaceDN/>
        <w:bidi w:val="0"/>
        <w:adjustRightInd/>
        <w:snapToGrid/>
        <w:spacing w:line="288" w:lineRule="auto"/>
        <w:textAlignment w:val="auto"/>
        <w:rPr>
          <w:rFonts w:ascii="宋体" w:hAnsi="宋体" w:cs="宋体"/>
          <w:color w:val="auto"/>
          <w:highlight w:val="none"/>
        </w:rPr>
      </w:pPr>
    </w:p>
    <w:p w14:paraId="060A8335">
      <w:pPr>
        <w:keepNext w:val="0"/>
        <w:keepLines w:val="0"/>
        <w:pageBreakBefore w:val="0"/>
        <w:widowControl/>
        <w:kinsoku/>
        <w:wordWrap/>
        <w:overflowPunct/>
        <w:topLinePunct w:val="0"/>
        <w:autoSpaceDE/>
        <w:autoSpaceDN/>
        <w:bidi w:val="0"/>
        <w:adjustRightInd/>
        <w:snapToGrid/>
        <w:spacing w:line="288" w:lineRule="auto"/>
        <w:textAlignment w:val="auto"/>
        <w:rPr>
          <w:rFonts w:ascii="宋体" w:hAnsi="宋体" w:cs="宋体"/>
          <w:color w:val="auto"/>
          <w:highlight w:val="none"/>
        </w:rPr>
      </w:pPr>
      <w:r>
        <w:rPr>
          <w:rFonts w:hint="eastAsia" w:ascii="宋体" w:hAnsi="宋体" w:cs="宋体"/>
          <w:color w:val="auto"/>
          <w:highlight w:val="none"/>
        </w:rPr>
        <w:t>参选人名称（单位公章）：</w:t>
      </w:r>
    </w:p>
    <w:p w14:paraId="714BB618">
      <w:pPr>
        <w:pStyle w:val="6"/>
        <w:keepNext w:val="0"/>
        <w:keepLines w:val="0"/>
        <w:pageBreakBefore w:val="0"/>
        <w:widowControl/>
        <w:kinsoku/>
        <w:wordWrap/>
        <w:overflowPunct/>
        <w:topLinePunct w:val="0"/>
        <w:autoSpaceDE/>
        <w:autoSpaceDN/>
        <w:bidi w:val="0"/>
        <w:adjustRightInd/>
        <w:snapToGrid/>
        <w:spacing w:line="288" w:lineRule="auto"/>
        <w:ind w:firstLine="0"/>
        <w:textAlignment w:val="auto"/>
        <w:rPr>
          <w:rFonts w:ascii="宋体" w:hAnsi="宋体" w:cs="宋体"/>
          <w:color w:val="auto"/>
          <w:highlight w:val="none"/>
        </w:rPr>
      </w:pPr>
      <w:r>
        <w:rPr>
          <w:rFonts w:hint="eastAsia" w:ascii="宋体" w:hAnsi="宋体" w:cs="宋体"/>
          <w:color w:val="auto"/>
          <w:highlight w:val="none"/>
        </w:rPr>
        <w:t>法定代表人或其授权代表（签字或盖章）：</w:t>
      </w:r>
    </w:p>
    <w:p w14:paraId="035C10AB">
      <w:pPr>
        <w:keepNext w:val="0"/>
        <w:keepLines w:val="0"/>
        <w:pageBreakBefore w:val="0"/>
        <w:widowControl/>
        <w:kinsoku/>
        <w:wordWrap/>
        <w:overflowPunct/>
        <w:topLinePunct w:val="0"/>
        <w:autoSpaceDE/>
        <w:autoSpaceDN/>
        <w:bidi w:val="0"/>
        <w:adjustRightInd/>
        <w:snapToGrid/>
        <w:spacing w:line="288" w:lineRule="auto"/>
        <w:textAlignment w:val="auto"/>
        <w:rPr>
          <w:rFonts w:ascii="宋体" w:hAnsi="宋体" w:cs="宋体"/>
          <w:color w:val="auto"/>
          <w:highlight w:val="none"/>
        </w:rPr>
      </w:pPr>
      <w:r>
        <w:rPr>
          <w:rFonts w:hint="eastAsia" w:ascii="宋体" w:hAnsi="宋体" w:cs="宋体"/>
          <w:color w:val="auto"/>
          <w:highlight w:val="none"/>
        </w:rPr>
        <w:t>日期：   年   月   日</w:t>
      </w:r>
    </w:p>
    <w:p w14:paraId="2EA0206E">
      <w:pPr>
        <w:keepNext w:val="0"/>
        <w:keepLines w:val="0"/>
        <w:pageBreakBefore w:val="0"/>
        <w:widowControl/>
        <w:kinsoku/>
        <w:wordWrap/>
        <w:overflowPunct/>
        <w:topLinePunct w:val="0"/>
        <w:autoSpaceDE/>
        <w:autoSpaceDN/>
        <w:bidi w:val="0"/>
        <w:adjustRightInd/>
        <w:snapToGrid/>
        <w:spacing w:line="288" w:lineRule="auto"/>
        <w:textAlignment w:val="auto"/>
        <w:rPr>
          <w:rFonts w:ascii="宋体" w:hAnsi="宋体" w:cs="宋体"/>
          <w:color w:val="auto"/>
          <w:highlight w:val="none"/>
        </w:rPr>
      </w:pPr>
    </w:p>
    <w:p w14:paraId="11CAC2EE">
      <w:pPr>
        <w:keepNext w:val="0"/>
        <w:keepLines w:val="0"/>
        <w:pageBreakBefore w:val="0"/>
        <w:widowControl/>
        <w:kinsoku/>
        <w:wordWrap/>
        <w:overflowPunct/>
        <w:topLinePunct w:val="0"/>
        <w:autoSpaceDE/>
        <w:autoSpaceDN/>
        <w:bidi w:val="0"/>
        <w:adjustRightInd/>
        <w:snapToGrid/>
        <w:spacing w:line="288" w:lineRule="auto"/>
        <w:ind w:left="424" w:hanging="426" w:hangingChars="202"/>
        <w:textAlignment w:val="auto"/>
        <w:rPr>
          <w:rFonts w:hint="eastAsia" w:ascii="宋体" w:hAnsi="宋体" w:cs="宋体"/>
          <w:b/>
          <w:bCs/>
          <w:color w:val="auto"/>
          <w:highlight w:val="none"/>
        </w:rPr>
      </w:pPr>
      <w:r>
        <w:rPr>
          <w:rFonts w:hint="eastAsia" w:ascii="宋体" w:hAnsi="宋体" w:cs="宋体"/>
          <w:b/>
          <w:bCs/>
          <w:color w:val="auto"/>
          <w:highlight w:val="none"/>
        </w:rPr>
        <w:t>注：参选人请注意区分参选保证金及中选服务费收款账号的区别，务必将保证金按遴选文件的要求存入指定的保证金专用账户，中选服务费存入中选通知书中指定的服务费账户。切勿将款项转错账户，以免影响保证金退还的速度。</w:t>
      </w:r>
    </w:p>
    <w:p w14:paraId="177E30DE">
      <w:pPr>
        <w:ind w:left="424" w:hanging="426" w:hangingChars="202"/>
        <w:rPr>
          <w:b/>
          <w:bCs/>
          <w:color w:val="auto"/>
          <w:highlight w:val="none"/>
        </w:rPr>
      </w:pPr>
      <w:r>
        <w:rPr>
          <w:rFonts w:hint="eastAsia" w:ascii="宋体" w:hAnsi="宋体" w:eastAsia="宋体" w:cs="宋体"/>
          <w:b/>
          <w:bCs/>
          <w:color w:val="auto"/>
          <w:highlight w:val="none"/>
          <w:lang w:val="en-US" w:eastAsia="zh-CN"/>
        </w:rPr>
        <w:t xml:space="preserve">    </w:t>
      </w:r>
      <w:r>
        <w:rPr>
          <w:rFonts w:hint="eastAsia" w:ascii="宋体" w:hAnsi="宋体" w:eastAsia="宋体" w:cs="Times New Roman"/>
          <w:b/>
          <w:bCs/>
          <w:snapToGrid w:val="0"/>
          <w:color w:val="auto"/>
          <w:sz w:val="21"/>
          <w:szCs w:val="21"/>
          <w:highlight w:val="none"/>
          <w:lang w:val="en-US" w:eastAsia="zh-CN" w:bidi="ar"/>
        </w:rPr>
        <w:t>代理服务费一次性以银行转账方式支付。</w:t>
      </w:r>
    </w:p>
    <w:p w14:paraId="716C5FD8">
      <w:pPr>
        <w:ind w:left="418" w:leftChars="199" w:firstLine="0" w:firstLineChars="0"/>
        <w:rPr>
          <w:rFonts w:hint="eastAsia" w:ascii="宋体" w:hAnsi="宋体" w:eastAsia="宋体" w:cs="Times New Roman"/>
          <w:b/>
          <w:bCs/>
          <w:color w:val="auto"/>
          <w:kern w:val="2"/>
          <w:sz w:val="21"/>
          <w:szCs w:val="24"/>
          <w:highlight w:val="none"/>
          <w:lang w:val="en-US" w:eastAsia="zh-CN" w:bidi="ar"/>
        </w:rPr>
      </w:pPr>
      <w:r>
        <w:rPr>
          <w:rFonts w:hint="eastAsia" w:ascii="宋体" w:hAnsi="宋体" w:eastAsia="宋体" w:cs="Times New Roman"/>
          <w:b/>
          <w:bCs/>
          <w:color w:val="auto"/>
          <w:kern w:val="2"/>
          <w:sz w:val="21"/>
          <w:szCs w:val="24"/>
          <w:highlight w:val="none"/>
          <w:lang w:val="en-US" w:eastAsia="zh-CN" w:bidi="ar"/>
        </w:rPr>
        <w:t>收 款 人：广州中经招标有限公司</w:t>
      </w:r>
    </w:p>
    <w:p w14:paraId="2BE633C2">
      <w:pPr>
        <w:ind w:left="418" w:leftChars="199" w:firstLine="0" w:firstLineChars="0"/>
        <w:rPr>
          <w:rFonts w:hint="eastAsia" w:ascii="宋体" w:hAnsi="宋体" w:eastAsia="宋体" w:cs="Times New Roman"/>
          <w:b/>
          <w:bCs/>
          <w:color w:val="auto"/>
          <w:kern w:val="2"/>
          <w:sz w:val="21"/>
          <w:szCs w:val="24"/>
          <w:highlight w:val="none"/>
          <w:u w:val="single"/>
          <w:lang w:val="en-US" w:eastAsia="zh-CN" w:bidi="ar"/>
        </w:rPr>
      </w:pPr>
      <w:r>
        <w:rPr>
          <w:rFonts w:hint="eastAsia" w:ascii="宋体" w:hAnsi="宋体" w:eastAsia="宋体" w:cs="Times New Roman"/>
          <w:b/>
          <w:bCs/>
          <w:color w:val="auto"/>
          <w:kern w:val="2"/>
          <w:sz w:val="21"/>
          <w:szCs w:val="24"/>
          <w:highlight w:val="none"/>
          <w:lang w:val="en-US" w:eastAsia="zh-CN" w:bidi="ar"/>
        </w:rPr>
        <w:t>开户银行：</w:t>
      </w:r>
      <w:r>
        <w:rPr>
          <w:rFonts w:hint="eastAsia" w:ascii="宋体" w:hAnsi="宋体" w:eastAsia="宋体" w:cs="Times New Roman"/>
          <w:b/>
          <w:bCs/>
          <w:color w:val="auto"/>
          <w:kern w:val="2"/>
          <w:sz w:val="21"/>
          <w:szCs w:val="24"/>
          <w:highlight w:val="none"/>
          <w:u w:val="single"/>
          <w:lang w:val="en-US" w:eastAsia="zh-CN" w:bidi="ar"/>
        </w:rPr>
        <w:t>中国工商银行五羊支行</w:t>
      </w:r>
    </w:p>
    <w:p w14:paraId="6C97D47E">
      <w:pPr>
        <w:ind w:left="418" w:leftChars="199" w:firstLine="0" w:firstLineChars="0"/>
        <w:rPr>
          <w:rFonts w:hint="eastAsia" w:ascii="宋体" w:hAnsi="宋体" w:eastAsia="宋体" w:cs="Times New Roman"/>
          <w:b/>
          <w:bCs/>
          <w:color w:val="auto"/>
          <w:kern w:val="2"/>
          <w:sz w:val="21"/>
          <w:szCs w:val="24"/>
          <w:highlight w:val="none"/>
          <w:u w:val="single"/>
          <w:lang w:val="en-US" w:eastAsia="zh-CN" w:bidi="ar"/>
        </w:rPr>
      </w:pPr>
      <w:r>
        <w:rPr>
          <w:rFonts w:hint="eastAsia" w:ascii="宋体" w:hAnsi="宋体" w:eastAsia="宋体" w:cs="Times New Roman"/>
          <w:b/>
          <w:bCs/>
          <w:color w:val="auto"/>
          <w:kern w:val="2"/>
          <w:sz w:val="21"/>
          <w:szCs w:val="24"/>
          <w:highlight w:val="none"/>
          <w:lang w:val="en-US" w:eastAsia="zh-CN" w:bidi="ar"/>
        </w:rPr>
        <w:t>账    号：</w:t>
      </w:r>
      <w:r>
        <w:rPr>
          <w:rFonts w:hint="eastAsia" w:ascii="宋体" w:hAnsi="宋体" w:eastAsia="宋体" w:cs="Times New Roman"/>
          <w:b/>
          <w:bCs/>
          <w:color w:val="auto"/>
          <w:kern w:val="2"/>
          <w:sz w:val="21"/>
          <w:szCs w:val="24"/>
          <w:highlight w:val="none"/>
          <w:u w:val="single"/>
          <w:lang w:val="en-US" w:eastAsia="zh-CN" w:bidi="ar"/>
        </w:rPr>
        <w:t>3602064719200511226</w:t>
      </w:r>
    </w:p>
    <w:p w14:paraId="7274FBD3">
      <w:pPr>
        <w:keepNext w:val="0"/>
        <w:keepLines w:val="0"/>
        <w:pageBreakBefore w:val="0"/>
        <w:widowControl/>
        <w:kinsoku/>
        <w:wordWrap/>
        <w:overflowPunct/>
        <w:topLinePunct w:val="0"/>
        <w:autoSpaceDE/>
        <w:autoSpaceDN/>
        <w:bidi w:val="0"/>
        <w:adjustRightInd/>
        <w:snapToGrid/>
        <w:spacing w:line="480" w:lineRule="auto"/>
        <w:jc w:val="both"/>
        <w:textAlignment w:val="auto"/>
        <w:outlineLvl w:val="0"/>
        <w:rPr>
          <w:rFonts w:hint="eastAsia" w:ascii="宋体" w:hAnsi="宋体" w:eastAsia="宋体" w:cs="宋体"/>
          <w:b/>
          <w:color w:val="auto"/>
          <w:sz w:val="21"/>
          <w:szCs w:val="21"/>
          <w:highlight w:val="none"/>
          <w:lang w:eastAsia="zh-CN"/>
        </w:rPr>
      </w:pPr>
      <w:bookmarkStart w:id="1486" w:name="_Toc7418"/>
      <w:r>
        <w:rPr>
          <w:rFonts w:hint="eastAsia" w:ascii="宋体" w:hAnsi="宋体" w:eastAsia="宋体" w:cs="宋体"/>
          <w:b/>
          <w:color w:val="auto"/>
          <w:sz w:val="21"/>
          <w:szCs w:val="21"/>
          <w:highlight w:val="none"/>
          <w:lang w:eastAsia="zh-CN"/>
        </w:rPr>
        <w:t>1</w:t>
      </w:r>
      <w:r>
        <w:rPr>
          <w:rFonts w:hint="eastAsia" w:ascii="宋体" w:hAnsi="宋体" w:cs="宋体"/>
          <w:b/>
          <w:color w:val="auto"/>
          <w:sz w:val="21"/>
          <w:szCs w:val="21"/>
          <w:highlight w:val="none"/>
          <w:lang w:val="en-US" w:eastAsia="zh-CN"/>
        </w:rPr>
        <w:t>1</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 xml:space="preserve"> 参选</w:t>
      </w:r>
      <w:r>
        <w:rPr>
          <w:rFonts w:hint="eastAsia" w:ascii="宋体" w:hAnsi="宋体" w:eastAsia="宋体" w:cs="宋体"/>
          <w:b/>
          <w:color w:val="auto"/>
          <w:sz w:val="21"/>
          <w:szCs w:val="21"/>
          <w:highlight w:val="none"/>
        </w:rPr>
        <w:t>保证金交纳凭证</w:t>
      </w:r>
      <w:bookmarkEnd w:id="1486"/>
      <w:r>
        <w:rPr>
          <w:rFonts w:hint="eastAsia" w:ascii="宋体" w:hAnsi="宋体" w:cs="宋体"/>
          <w:b/>
          <w:color w:val="auto"/>
          <w:sz w:val="21"/>
          <w:szCs w:val="21"/>
          <w:highlight w:val="none"/>
          <w:lang w:eastAsia="zh-CN"/>
        </w:rPr>
        <w:tab/>
      </w:r>
    </w:p>
    <w:p w14:paraId="52796DBB">
      <w:pPr>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u w:val="single"/>
        </w:rPr>
        <w:t>广州中经招标有限公司：</w:t>
      </w:r>
    </w:p>
    <w:p w14:paraId="5DE05CB7">
      <w:pPr>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u w:val="single"/>
        </w:rPr>
        <w:t>（</w:t>
      </w:r>
      <w:r>
        <w:rPr>
          <w:rFonts w:hint="eastAsia" w:ascii="宋体" w:hAnsi="宋体" w:eastAsia="宋体" w:cs="宋体"/>
          <w:color w:val="auto"/>
          <w:sz w:val="21"/>
          <w:highlight w:val="none"/>
          <w:u w:val="single"/>
          <w:lang w:eastAsia="zh-CN"/>
        </w:rPr>
        <w:t>参选</w:t>
      </w:r>
      <w:r>
        <w:rPr>
          <w:rFonts w:hint="eastAsia" w:ascii="宋体" w:hAnsi="宋体" w:eastAsia="宋体" w:cs="宋体"/>
          <w:color w:val="auto"/>
          <w:sz w:val="21"/>
          <w:highlight w:val="none"/>
          <w:u w:val="single"/>
        </w:rPr>
        <w:t xml:space="preserve">人全称)     </w:t>
      </w:r>
      <w:r>
        <w:rPr>
          <w:rFonts w:hint="eastAsia" w:ascii="宋体" w:hAnsi="宋体" w:eastAsia="宋体" w:cs="宋体"/>
          <w:color w:val="auto"/>
          <w:sz w:val="21"/>
          <w:highlight w:val="none"/>
        </w:rPr>
        <w:t>参加贵方组织的项目名称为</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，项目编号为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highlight w:val="none"/>
        </w:rPr>
        <w:t>的采购活动。按</w:t>
      </w:r>
      <w:r>
        <w:rPr>
          <w:rFonts w:hint="eastAsia" w:ascii="宋体" w:hAnsi="宋体" w:eastAsia="宋体" w:cs="宋体"/>
          <w:color w:val="auto"/>
          <w:sz w:val="21"/>
          <w:highlight w:val="none"/>
          <w:lang w:val="en-US" w:eastAsia="zh-CN"/>
        </w:rPr>
        <w:t>遴选</w:t>
      </w:r>
      <w:r>
        <w:rPr>
          <w:rFonts w:hint="eastAsia" w:ascii="宋体" w:hAnsi="宋体" w:eastAsia="宋体" w:cs="宋体"/>
          <w:color w:val="auto"/>
          <w:sz w:val="21"/>
          <w:highlight w:val="none"/>
        </w:rPr>
        <w:t>文件的规定，已通过（</w:t>
      </w:r>
      <w:r>
        <w:rPr>
          <w:rFonts w:hint="eastAsia" w:ascii="宋体" w:hAnsi="宋体" w:eastAsia="宋体" w:cs="宋体"/>
          <w:color w:val="auto"/>
          <w:sz w:val="21"/>
          <w:szCs w:val="21"/>
          <w:highlight w:val="none"/>
        </w:rPr>
        <w:t>银行汇款、银行转账</w:t>
      </w:r>
      <w:r>
        <w:rPr>
          <w:rFonts w:hint="eastAsia" w:ascii="宋体" w:hAnsi="宋体" w:eastAsia="宋体" w:cs="宋体"/>
          <w:color w:val="auto"/>
          <w:sz w:val="21"/>
          <w:highlight w:val="none"/>
        </w:rPr>
        <w:t>）</w:t>
      </w:r>
      <w:r>
        <w:rPr>
          <w:rFonts w:hint="eastAsia" w:ascii="宋体" w:hAnsi="宋体" w:eastAsia="宋体" w:cs="宋体"/>
          <w:color w:val="auto"/>
          <w:sz w:val="21"/>
          <w:szCs w:val="21"/>
          <w:highlight w:val="none"/>
        </w:rPr>
        <w:t>等</w:t>
      </w:r>
      <w:r>
        <w:rPr>
          <w:rFonts w:hint="eastAsia" w:ascii="宋体" w:hAnsi="宋体" w:eastAsia="宋体" w:cs="宋体"/>
          <w:color w:val="auto"/>
          <w:sz w:val="21"/>
          <w:highlight w:val="none"/>
        </w:rPr>
        <w:t>形式交纳人民币</w:t>
      </w:r>
      <w:r>
        <w:rPr>
          <w:rFonts w:hint="eastAsia" w:ascii="宋体" w:hAnsi="宋体" w:eastAsia="宋体" w:cs="宋体"/>
          <w:color w:val="auto"/>
          <w:sz w:val="21"/>
          <w:highlight w:val="none"/>
          <w:u w:val="single"/>
        </w:rPr>
        <w:t xml:space="preserve">（大写）  　　  </w:t>
      </w:r>
      <w:r>
        <w:rPr>
          <w:rFonts w:hint="eastAsia" w:ascii="宋体" w:hAnsi="宋体" w:eastAsia="宋体" w:cs="宋体"/>
          <w:color w:val="auto"/>
          <w:sz w:val="21"/>
          <w:highlight w:val="none"/>
        </w:rPr>
        <w:t>元的</w:t>
      </w: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保证金。</w:t>
      </w:r>
    </w:p>
    <w:p w14:paraId="6D969CD3">
      <w:pPr>
        <w:spacing w:line="360" w:lineRule="auto"/>
        <w:ind w:firstLine="420" w:firstLineChars="200"/>
        <w:rPr>
          <w:rFonts w:hint="eastAsia" w:ascii="宋体" w:hAnsi="宋体" w:eastAsia="宋体" w:cs="宋体"/>
          <w:color w:val="auto"/>
          <w:sz w:val="21"/>
          <w:highlight w:val="none"/>
        </w:rPr>
      </w:pP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人名称：</w:t>
      </w:r>
      <w:r>
        <w:rPr>
          <w:rFonts w:hint="eastAsia" w:ascii="宋体" w:hAnsi="宋体" w:eastAsia="宋体" w:cs="宋体"/>
          <w:color w:val="auto"/>
          <w:sz w:val="21"/>
          <w:highlight w:val="none"/>
          <w:u w:val="single"/>
        </w:rPr>
        <w:t xml:space="preserve">                     </w:t>
      </w:r>
    </w:p>
    <w:p w14:paraId="6895AD75">
      <w:pPr>
        <w:spacing w:line="360" w:lineRule="auto"/>
        <w:ind w:firstLine="420" w:firstLineChars="200"/>
        <w:rPr>
          <w:rFonts w:hint="eastAsia" w:ascii="宋体" w:hAnsi="宋体" w:eastAsia="宋体" w:cs="宋体"/>
          <w:color w:val="auto"/>
          <w:sz w:val="21"/>
          <w:highlight w:val="none"/>
        </w:rPr>
      </w:pP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人开户银行：</w:t>
      </w:r>
      <w:r>
        <w:rPr>
          <w:rFonts w:hint="eastAsia" w:ascii="宋体" w:hAnsi="宋体" w:eastAsia="宋体" w:cs="宋体"/>
          <w:color w:val="auto"/>
          <w:sz w:val="21"/>
          <w:highlight w:val="none"/>
          <w:u w:val="single"/>
        </w:rPr>
        <w:t xml:space="preserve">                 </w:t>
      </w:r>
    </w:p>
    <w:p w14:paraId="0717C1FE">
      <w:pPr>
        <w:spacing w:line="360" w:lineRule="auto"/>
        <w:ind w:firstLine="420" w:firstLineChars="200"/>
        <w:rPr>
          <w:rFonts w:hint="eastAsia" w:ascii="宋体" w:hAnsi="宋体" w:eastAsia="宋体" w:cs="宋体"/>
          <w:color w:val="auto"/>
          <w:sz w:val="21"/>
          <w:highlight w:val="none"/>
          <w:u w:val="single"/>
        </w:rPr>
      </w:pP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人银行帐号：</w:t>
      </w:r>
      <w:r>
        <w:rPr>
          <w:rFonts w:hint="eastAsia" w:ascii="宋体" w:hAnsi="宋体" w:eastAsia="宋体" w:cs="宋体"/>
          <w:color w:val="auto"/>
          <w:sz w:val="21"/>
          <w:highlight w:val="none"/>
          <w:u w:val="single"/>
        </w:rPr>
        <w:t xml:space="preserve">                 </w:t>
      </w:r>
    </w:p>
    <w:p w14:paraId="58F2C4D1">
      <w:pPr>
        <w:spacing w:line="360" w:lineRule="auto"/>
        <w:ind w:firstLine="420" w:firstLineChars="200"/>
        <w:rPr>
          <w:rFonts w:hint="eastAsia" w:ascii="宋体" w:hAnsi="宋体" w:eastAsia="宋体" w:cs="宋体"/>
          <w:color w:val="auto"/>
          <w:sz w:val="21"/>
          <w:highlight w:val="none"/>
        </w:rPr>
      </w:pPr>
      <w:r>
        <w:rPr>
          <w:rFonts w:hint="eastAsia" w:ascii="宋体" w:hAnsi="宋体" w:eastAsia="宋体" w:cs="宋体"/>
          <w:color w:val="auto"/>
          <w:sz w:val="21"/>
          <w:highlight w:val="none"/>
        </w:rPr>
        <w:t>说明：上述要素的填写必须与银行转账或银行汇款凭证的要素一致，广州中经招标有限公司依据此凭证信息退还</w:t>
      </w:r>
      <w:r>
        <w:rPr>
          <w:rFonts w:hint="eastAsia" w:ascii="宋体" w:hAnsi="宋体" w:eastAsia="宋体" w:cs="宋体"/>
          <w:color w:val="auto"/>
          <w:sz w:val="21"/>
          <w:highlight w:val="none"/>
          <w:lang w:val="en-US" w:eastAsia="zh-CN"/>
        </w:rPr>
        <w:t>参选</w:t>
      </w:r>
      <w:r>
        <w:rPr>
          <w:rFonts w:hint="eastAsia" w:ascii="宋体" w:hAnsi="宋体" w:eastAsia="宋体" w:cs="宋体"/>
          <w:color w:val="auto"/>
          <w:sz w:val="21"/>
          <w:highlight w:val="none"/>
        </w:rPr>
        <w:t>保证金。</w:t>
      </w:r>
    </w:p>
    <w:p w14:paraId="5A5E7227">
      <w:pPr>
        <w:adjustRightInd w:val="0"/>
        <w:snapToGrid w:val="0"/>
        <w:spacing w:line="300" w:lineRule="auto"/>
        <w:rPr>
          <w:rFonts w:hint="eastAsia" w:ascii="宋体" w:hAnsi="宋体" w:eastAsia="宋体" w:cs="宋体"/>
          <w:color w:val="auto"/>
          <w:sz w:val="21"/>
          <w:highlight w:val="none"/>
        </w:rPr>
      </w:pPr>
    </w:p>
    <w:p w14:paraId="4A7E889E">
      <w:pPr>
        <w:adjustRightInd w:val="0"/>
        <w:snapToGrid w:val="0"/>
        <w:spacing w:line="360" w:lineRule="auto"/>
        <w:rPr>
          <w:rFonts w:hint="eastAsia" w:ascii="宋体" w:hAnsi="宋体" w:eastAsia="宋体" w:cs="宋体"/>
          <w:color w:val="auto"/>
          <w:sz w:val="21"/>
          <w:highlight w:val="none"/>
          <w:u w:val="single"/>
        </w:rPr>
      </w:pP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人法定代表人（或法定代表人授权代表）签字或盖本人姓名章：</w:t>
      </w:r>
      <w:r>
        <w:rPr>
          <w:rFonts w:hint="eastAsia" w:ascii="宋体" w:hAnsi="宋体" w:eastAsia="宋体" w:cs="宋体"/>
          <w:color w:val="auto"/>
          <w:sz w:val="21"/>
          <w:highlight w:val="none"/>
          <w:u w:val="single"/>
        </w:rPr>
        <w:t xml:space="preserve">                   </w:t>
      </w:r>
    </w:p>
    <w:p w14:paraId="1EF61ED0">
      <w:pPr>
        <w:adjustRightInd w:val="0"/>
        <w:snapToGrid w:val="0"/>
        <w:spacing w:line="360" w:lineRule="auto"/>
        <w:rPr>
          <w:rFonts w:hint="eastAsia" w:ascii="宋体" w:hAnsi="宋体" w:eastAsia="宋体" w:cs="宋体"/>
          <w:color w:val="auto"/>
          <w:sz w:val="21"/>
          <w:highlight w:val="none"/>
          <w:u w:val="single"/>
        </w:rPr>
      </w:pP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人名称（签章）：</w:t>
      </w:r>
      <w:r>
        <w:rPr>
          <w:rFonts w:hint="eastAsia" w:ascii="宋体" w:hAnsi="宋体" w:eastAsia="宋体" w:cs="宋体"/>
          <w:color w:val="auto"/>
          <w:sz w:val="21"/>
          <w:highlight w:val="none"/>
          <w:u w:val="single"/>
        </w:rPr>
        <w:t xml:space="preserve">                        </w:t>
      </w:r>
    </w:p>
    <w:p w14:paraId="65BCEC48">
      <w:pPr>
        <w:adjustRightInd w:val="0"/>
        <w:snapToGrid w:val="0"/>
        <w:spacing w:line="360" w:lineRule="auto"/>
        <w:rPr>
          <w:rFonts w:hint="eastAsia" w:ascii="宋体" w:hAnsi="宋体" w:eastAsia="宋体" w:cs="宋体"/>
          <w:color w:val="auto"/>
          <w:sz w:val="21"/>
          <w:highlight w:val="none"/>
          <w:u w:val="single"/>
        </w:rPr>
      </w:pPr>
      <w:r>
        <w:rPr>
          <w:rFonts w:hint="eastAsia" w:ascii="宋体" w:hAnsi="宋体" w:eastAsia="宋体" w:cs="宋体"/>
          <w:color w:val="auto"/>
          <w:sz w:val="21"/>
          <w:highlight w:val="none"/>
        </w:rPr>
        <w:t>日期：   年   月   日</w:t>
      </w:r>
    </w:p>
    <w:p w14:paraId="578AA174">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14:paraId="6C201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14:paraId="0CF8A539">
            <w:pPr>
              <w:keepNext w:val="0"/>
              <w:keepLines w:val="0"/>
              <w:widowControl/>
              <w:suppressLineNumbers w:val="0"/>
              <w:spacing w:before="0" w:beforeAutospacing="0" w:after="0" w:afterAutospacing="0" w:line="30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粘贴转帐或汇款的银行凭证复印件</w:t>
            </w:r>
          </w:p>
        </w:tc>
      </w:tr>
    </w:tbl>
    <w:p w14:paraId="09E581B4">
      <w:pPr>
        <w:spacing w:line="360" w:lineRule="auto"/>
        <w:rPr>
          <w:rFonts w:hint="eastAsia" w:ascii="宋体" w:hAnsi="宋体" w:eastAsia="宋体" w:cs="宋体"/>
          <w:color w:val="auto"/>
          <w:sz w:val="21"/>
          <w:highlight w:val="none"/>
        </w:rPr>
      </w:pPr>
    </w:p>
    <w:p w14:paraId="7BF6042B">
      <w:pPr>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rPr>
        <w:t>注：1.</w:t>
      </w: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人</w:t>
      </w: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时，应当按</w:t>
      </w:r>
      <w:r>
        <w:rPr>
          <w:rFonts w:hint="eastAsia" w:ascii="宋体" w:hAnsi="宋体" w:eastAsia="宋体" w:cs="宋体"/>
          <w:color w:val="auto"/>
          <w:sz w:val="21"/>
          <w:highlight w:val="none"/>
          <w:lang w:val="en-US" w:eastAsia="zh-CN"/>
        </w:rPr>
        <w:t>遴选</w:t>
      </w:r>
      <w:r>
        <w:rPr>
          <w:rFonts w:hint="eastAsia" w:ascii="宋体" w:hAnsi="宋体" w:eastAsia="宋体" w:cs="宋体"/>
          <w:color w:val="auto"/>
          <w:sz w:val="21"/>
          <w:highlight w:val="none"/>
        </w:rPr>
        <w:t>文件要求交纳</w:t>
      </w: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保证金。</w:t>
      </w: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保证金可以采用银行汇款、银行转账等形式交纳。</w:t>
      </w:r>
    </w:p>
    <w:p w14:paraId="12686276">
      <w:pPr>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rPr>
        <w:t>2.采购代理机构在</w:t>
      </w:r>
      <w:r>
        <w:rPr>
          <w:rFonts w:hint="eastAsia" w:ascii="宋体" w:hAnsi="宋体" w:eastAsia="宋体" w:cs="宋体"/>
          <w:color w:val="auto"/>
          <w:sz w:val="21"/>
          <w:highlight w:val="none"/>
          <w:lang w:val="en-US" w:eastAsia="zh-CN"/>
        </w:rPr>
        <w:t>中选</w:t>
      </w:r>
      <w:r>
        <w:rPr>
          <w:rFonts w:hint="eastAsia" w:ascii="宋体" w:hAnsi="宋体" w:eastAsia="宋体" w:cs="宋体"/>
          <w:color w:val="auto"/>
          <w:sz w:val="21"/>
          <w:highlight w:val="none"/>
        </w:rPr>
        <w:t>通知书发出后五个工作日内凭供应商的《退保证金说明》退还未</w:t>
      </w:r>
      <w:r>
        <w:rPr>
          <w:rFonts w:hint="eastAsia" w:ascii="宋体" w:hAnsi="宋体" w:eastAsia="宋体" w:cs="宋体"/>
          <w:color w:val="auto"/>
          <w:sz w:val="21"/>
          <w:highlight w:val="none"/>
          <w:lang w:val="en-US" w:eastAsia="zh-CN"/>
        </w:rPr>
        <w:t>成交</w:t>
      </w:r>
      <w:r>
        <w:rPr>
          <w:rFonts w:hint="eastAsia" w:ascii="宋体" w:hAnsi="宋体" w:eastAsia="宋体" w:cs="宋体"/>
          <w:color w:val="auto"/>
          <w:sz w:val="21"/>
          <w:highlight w:val="none"/>
        </w:rPr>
        <w:t>供应商的</w:t>
      </w: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保证金，在采购合同签订后五个工作日内退还</w:t>
      </w:r>
      <w:r>
        <w:rPr>
          <w:rFonts w:hint="eastAsia" w:ascii="宋体" w:hAnsi="宋体" w:eastAsia="宋体" w:cs="宋体"/>
          <w:color w:val="auto"/>
          <w:sz w:val="21"/>
          <w:highlight w:val="none"/>
          <w:lang w:val="en-US" w:eastAsia="zh-CN"/>
        </w:rPr>
        <w:t>中选</w:t>
      </w:r>
      <w:r>
        <w:rPr>
          <w:rFonts w:hint="eastAsia" w:ascii="宋体" w:hAnsi="宋体" w:eastAsia="宋体" w:cs="宋体"/>
          <w:color w:val="auto"/>
          <w:sz w:val="21"/>
          <w:highlight w:val="none"/>
        </w:rPr>
        <w:t>供应商的</w:t>
      </w:r>
      <w:r>
        <w:rPr>
          <w:rFonts w:hint="eastAsia" w:ascii="宋体" w:hAnsi="宋体" w:eastAsia="宋体" w:cs="宋体"/>
          <w:color w:val="auto"/>
          <w:sz w:val="21"/>
          <w:highlight w:val="none"/>
          <w:lang w:eastAsia="zh-CN"/>
        </w:rPr>
        <w:t>参选</w:t>
      </w:r>
      <w:r>
        <w:rPr>
          <w:rFonts w:hint="eastAsia" w:ascii="宋体" w:hAnsi="宋体" w:eastAsia="宋体" w:cs="宋体"/>
          <w:color w:val="auto"/>
          <w:sz w:val="21"/>
          <w:highlight w:val="none"/>
        </w:rPr>
        <w:t>保证金。</w:t>
      </w:r>
    </w:p>
    <w:p w14:paraId="07026C96">
      <w:pPr>
        <w:pStyle w:val="10"/>
        <w:rPr>
          <w:rFonts w:hint="eastAsia"/>
          <w:color w:val="auto"/>
          <w:highlight w:val="none"/>
        </w:rPr>
      </w:pPr>
    </w:p>
    <w:p w14:paraId="2D707586">
      <w:pPr>
        <w:spacing w:line="360" w:lineRule="auto"/>
        <w:rPr>
          <w:rFonts w:hint="eastAsia" w:ascii="宋体" w:hAnsi="宋体" w:cs="宋体"/>
          <w:color w:val="auto"/>
          <w:highlight w:val="none"/>
        </w:rPr>
      </w:pPr>
    </w:p>
    <w:p w14:paraId="1B824C8F">
      <w:pPr>
        <w:spacing w:line="360" w:lineRule="auto"/>
        <w:rPr>
          <w:rFonts w:hint="eastAsia" w:ascii="宋体" w:hAnsi="宋体" w:cs="宋体"/>
          <w:color w:val="auto"/>
          <w:highlight w:val="none"/>
        </w:rPr>
      </w:pPr>
    </w:p>
    <w:p w14:paraId="0F215F8E">
      <w:pPr>
        <w:keepNext w:val="0"/>
        <w:keepLines w:val="0"/>
        <w:pageBreakBefore w:val="0"/>
        <w:widowControl/>
        <w:kinsoku/>
        <w:wordWrap/>
        <w:overflowPunct/>
        <w:topLinePunct w:val="0"/>
        <w:autoSpaceDE/>
        <w:autoSpaceDN/>
        <w:bidi w:val="0"/>
        <w:adjustRightInd/>
        <w:snapToGrid/>
        <w:spacing w:line="480" w:lineRule="auto"/>
        <w:jc w:val="both"/>
        <w:textAlignment w:val="auto"/>
        <w:outlineLvl w:val="0"/>
        <w:rPr>
          <w:rFonts w:hint="eastAsia" w:ascii="宋体" w:hAnsi="宋体" w:eastAsia="宋体" w:cs="宋体"/>
          <w:b/>
          <w:color w:val="auto"/>
          <w:sz w:val="21"/>
          <w:szCs w:val="21"/>
          <w:highlight w:val="none"/>
        </w:rPr>
      </w:pPr>
      <w:bookmarkStart w:id="1487" w:name="_Toc9435"/>
      <w:r>
        <w:rPr>
          <w:rFonts w:hint="eastAsia" w:ascii="宋体" w:hAnsi="宋体" w:eastAsia="宋体" w:cs="宋体"/>
          <w:b/>
          <w:bCs/>
          <w:color w:val="auto"/>
          <w:sz w:val="21"/>
          <w:szCs w:val="21"/>
          <w:highlight w:val="none"/>
          <w:lang w:val="en-US" w:eastAsia="zh-CN"/>
        </w:rPr>
        <w:t>1</w:t>
      </w:r>
      <w:r>
        <w:rPr>
          <w:rFonts w:hint="eastAsia" w:ascii="宋体" w:hAnsi="宋体" w:cs="宋体"/>
          <w:b/>
          <w:bCs/>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b/>
          <w:color w:val="auto"/>
          <w:sz w:val="21"/>
          <w:szCs w:val="21"/>
          <w:highlight w:val="none"/>
        </w:rPr>
        <w:t xml:space="preserve"> 《退</w:t>
      </w:r>
      <w:r>
        <w:rPr>
          <w:rFonts w:hint="eastAsia" w:ascii="宋体" w:hAnsi="宋体" w:cs="宋体"/>
          <w:b/>
          <w:color w:val="auto"/>
          <w:sz w:val="21"/>
          <w:szCs w:val="21"/>
          <w:highlight w:val="none"/>
          <w:lang w:eastAsia="zh-CN"/>
        </w:rPr>
        <w:t>参选</w:t>
      </w:r>
      <w:r>
        <w:rPr>
          <w:rFonts w:hint="eastAsia" w:ascii="宋体" w:hAnsi="宋体" w:eastAsia="宋体" w:cs="宋体"/>
          <w:b/>
          <w:color w:val="auto"/>
          <w:sz w:val="21"/>
          <w:szCs w:val="21"/>
          <w:highlight w:val="none"/>
        </w:rPr>
        <w:t>保证金说明》</w:t>
      </w:r>
      <w:bookmarkEnd w:id="1487"/>
    </w:p>
    <w:p w14:paraId="74A85F2C">
      <w:pPr>
        <w:spacing w:line="360" w:lineRule="auto"/>
        <w:rPr>
          <w:rFonts w:hint="default"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致：广州中经招标有限公司</w:t>
      </w:r>
    </w:p>
    <w:p w14:paraId="2C22A69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我公司于     年   月参加广州中经招标有限公司组织的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遴选</w:t>
      </w:r>
      <w:r>
        <w:rPr>
          <w:rFonts w:hint="eastAsia" w:ascii="宋体" w:hAnsi="宋体" w:eastAsia="宋体" w:cs="宋体"/>
          <w:color w:val="auto"/>
          <w:sz w:val="21"/>
          <w:szCs w:val="21"/>
          <w:highlight w:val="none"/>
        </w:rPr>
        <w:t>，并按</w:t>
      </w:r>
      <w:r>
        <w:rPr>
          <w:rFonts w:hint="eastAsia" w:ascii="宋体" w:hAnsi="宋体" w:eastAsia="宋体" w:cs="宋体"/>
          <w:color w:val="auto"/>
          <w:sz w:val="21"/>
          <w:szCs w:val="21"/>
          <w:highlight w:val="none"/>
          <w:lang w:val="en-US" w:eastAsia="zh-CN"/>
        </w:rPr>
        <w:t>遴选</w:t>
      </w:r>
      <w:r>
        <w:rPr>
          <w:rFonts w:hint="eastAsia" w:ascii="宋体" w:hAnsi="宋体" w:eastAsia="宋体" w:cs="宋体"/>
          <w:color w:val="auto"/>
          <w:sz w:val="21"/>
          <w:szCs w:val="21"/>
          <w:highlight w:val="none"/>
        </w:rPr>
        <w:t>文件要求缴纳</w:t>
      </w:r>
      <w:r>
        <w:rPr>
          <w:rFonts w:hint="eastAsia" w:ascii="宋体" w:hAnsi="宋体" w:eastAsia="宋体" w:cs="宋体"/>
          <w:color w:val="auto"/>
          <w:sz w:val="21"/>
          <w:szCs w:val="21"/>
          <w:highlight w:val="none"/>
          <w:lang w:val="en-US" w:eastAsia="zh-CN"/>
        </w:rPr>
        <w:t>参选</w:t>
      </w:r>
      <w:r>
        <w:rPr>
          <w:rFonts w:hint="eastAsia" w:ascii="宋体" w:hAnsi="宋体" w:eastAsia="宋体" w:cs="宋体"/>
          <w:color w:val="auto"/>
          <w:sz w:val="21"/>
          <w:szCs w:val="21"/>
          <w:highlight w:val="none"/>
        </w:rPr>
        <w:t>保证金“小写金额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（大写金额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）”。在该项目中我公司为（</w:t>
      </w:r>
      <w:r>
        <w:rPr>
          <w:rFonts w:hint="eastAsia" w:ascii="宋体" w:hAnsi="宋体" w:eastAsia="宋体" w:cs="宋体"/>
          <w:color w:val="auto"/>
          <w:sz w:val="21"/>
          <w:szCs w:val="21"/>
          <w:highlight w:val="none"/>
          <w:lang w:val="en-US" w:eastAsia="zh-CN"/>
        </w:rPr>
        <w:t>中选供应商</w:t>
      </w:r>
      <w:r>
        <w:rPr>
          <w:rFonts w:hint="eastAsia" w:ascii="宋体" w:hAnsi="宋体" w:eastAsia="宋体" w:cs="宋体"/>
          <w:color w:val="auto"/>
          <w:sz w:val="21"/>
          <w:szCs w:val="21"/>
          <w:highlight w:val="none"/>
        </w:rPr>
        <w:t>或未</w:t>
      </w:r>
      <w:r>
        <w:rPr>
          <w:rFonts w:hint="eastAsia" w:ascii="宋体" w:hAnsi="宋体" w:eastAsia="宋体" w:cs="宋体"/>
          <w:color w:val="auto"/>
          <w:sz w:val="21"/>
          <w:szCs w:val="21"/>
          <w:highlight w:val="none"/>
          <w:lang w:val="en-US" w:eastAsia="zh-CN"/>
        </w:rPr>
        <w:t>中选供应商</w:t>
      </w:r>
      <w:r>
        <w:rPr>
          <w:rFonts w:hint="eastAsia" w:ascii="宋体" w:hAnsi="宋体" w:eastAsia="宋体" w:cs="宋体"/>
          <w:color w:val="auto"/>
          <w:sz w:val="21"/>
          <w:szCs w:val="21"/>
          <w:highlight w:val="none"/>
        </w:rPr>
        <w:t>）。现申请退办该笔</w:t>
      </w:r>
      <w:r>
        <w:rPr>
          <w:rFonts w:hint="eastAsia" w:ascii="宋体" w:hAnsi="宋体" w:eastAsia="宋体" w:cs="宋体"/>
          <w:color w:val="auto"/>
          <w:sz w:val="21"/>
          <w:szCs w:val="21"/>
          <w:highlight w:val="none"/>
          <w:lang w:val="en-US" w:eastAsia="zh-CN"/>
        </w:rPr>
        <w:t>参选</w:t>
      </w:r>
      <w:r>
        <w:rPr>
          <w:rFonts w:hint="eastAsia" w:ascii="宋体" w:hAnsi="宋体" w:eastAsia="宋体" w:cs="宋体"/>
          <w:color w:val="auto"/>
          <w:sz w:val="21"/>
          <w:szCs w:val="21"/>
          <w:highlight w:val="none"/>
        </w:rPr>
        <w:t>保证金。保证金退回以下账户：</w:t>
      </w:r>
    </w:p>
    <w:p w14:paraId="01398868">
      <w:pPr>
        <w:spacing w:line="360" w:lineRule="auto"/>
        <w:rPr>
          <w:rFonts w:hint="eastAsia" w:ascii="宋体" w:hAnsi="宋体" w:eastAsia="宋体" w:cs="宋体"/>
          <w:color w:val="auto"/>
          <w:sz w:val="21"/>
          <w:szCs w:val="21"/>
          <w:highlight w:val="none"/>
        </w:rPr>
      </w:pPr>
    </w:p>
    <w:p w14:paraId="477FC66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公司名称：</w:t>
      </w:r>
    </w:p>
    <w:p w14:paraId="2F181D8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开户行：</w:t>
      </w:r>
    </w:p>
    <w:p w14:paraId="0687F6BE">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公司账号：</w:t>
      </w:r>
    </w:p>
    <w:p w14:paraId="258B218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0263348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w:t>
      </w:r>
    </w:p>
    <w:p w14:paraId="55D0DCD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370F1147">
      <w:pPr>
        <w:spacing w:line="360" w:lineRule="auto"/>
        <w:ind w:firstLine="5250" w:firstLineChars="25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申请人：（加盖公章）</w:t>
      </w:r>
    </w:p>
    <w:p w14:paraId="17E9E644">
      <w:pPr>
        <w:spacing w:line="360" w:lineRule="auto"/>
        <w:ind w:firstLine="5880" w:firstLineChars="28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28929939">
      <w:pPr>
        <w:spacing w:line="360" w:lineRule="auto"/>
        <w:rPr>
          <w:rFonts w:hint="eastAsia" w:ascii="宋体" w:hAnsi="宋体" w:cs="宋体"/>
          <w:color w:val="auto"/>
          <w:highlight w:val="none"/>
        </w:rPr>
      </w:pPr>
    </w:p>
    <w:p w14:paraId="79CABE49">
      <w:pPr>
        <w:spacing w:line="360" w:lineRule="auto"/>
        <w:rPr>
          <w:rFonts w:hint="eastAsia" w:ascii="宋体" w:hAnsi="宋体" w:cs="宋体"/>
          <w:color w:val="auto"/>
          <w:highlight w:val="none"/>
        </w:rPr>
      </w:pPr>
    </w:p>
    <w:p w14:paraId="259A05F4">
      <w:pPr>
        <w:spacing w:line="360" w:lineRule="auto"/>
        <w:rPr>
          <w:rFonts w:ascii="宋体" w:hAnsi="宋体" w:cs="宋体"/>
          <w:color w:val="auto"/>
          <w:highlight w:val="none"/>
        </w:rPr>
      </w:pPr>
      <w:r>
        <w:rPr>
          <w:rFonts w:hint="eastAsia" w:ascii="宋体" w:hAnsi="宋体" w:cs="宋体"/>
          <w:color w:val="auto"/>
          <w:highlight w:val="none"/>
        </w:rPr>
        <w:br w:type="page"/>
      </w:r>
    </w:p>
    <w:p w14:paraId="13D26686">
      <w:pPr>
        <w:pStyle w:val="4"/>
        <w:keepLines w:val="0"/>
        <w:widowControl w:val="0"/>
        <w:numPr>
          <w:ilvl w:val="-1"/>
          <w:numId w:val="0"/>
        </w:numPr>
        <w:tabs>
          <w:tab w:val="left" w:pos="851"/>
        </w:tabs>
        <w:adjustRightInd/>
        <w:snapToGrid/>
        <w:spacing w:line="360" w:lineRule="auto"/>
        <w:ind w:left="0" w:firstLine="0"/>
        <w:jc w:val="both"/>
        <w:rPr>
          <w:rFonts w:hAnsi="宋体" w:cs="宋体"/>
          <w:color w:val="auto"/>
          <w:sz w:val="21"/>
          <w:szCs w:val="21"/>
          <w:highlight w:val="none"/>
        </w:rPr>
      </w:pPr>
      <w:bookmarkStart w:id="1488" w:name="_Toc28702"/>
      <w:bookmarkStart w:id="1489" w:name="_Toc5022"/>
      <w:bookmarkStart w:id="1490" w:name="_Toc16428"/>
      <w:bookmarkStart w:id="1491" w:name="_Toc8303"/>
      <w:bookmarkStart w:id="1492" w:name="_Toc11175"/>
      <w:r>
        <w:rPr>
          <w:rFonts w:hint="eastAsia" w:hAnsi="宋体" w:cs="宋体"/>
          <w:b/>
          <w:bCs/>
          <w:color w:val="auto"/>
          <w:sz w:val="21"/>
          <w:szCs w:val="21"/>
          <w:highlight w:val="none"/>
          <w:lang w:val="en-US" w:eastAsia="zh-CN"/>
        </w:rPr>
        <w:t xml:space="preserve">13. </w:t>
      </w:r>
      <w:r>
        <w:rPr>
          <w:rFonts w:hint="eastAsia" w:hAnsi="宋体" w:cs="宋体"/>
          <w:b/>
          <w:bCs/>
          <w:color w:val="auto"/>
          <w:sz w:val="21"/>
          <w:szCs w:val="21"/>
          <w:highlight w:val="none"/>
        </w:rPr>
        <w:t>询问函、质疑函格式</w:t>
      </w:r>
      <w:bookmarkEnd w:id="1488"/>
      <w:bookmarkEnd w:id="1489"/>
      <w:bookmarkEnd w:id="1490"/>
    </w:p>
    <w:bookmarkEnd w:id="1491"/>
    <w:bookmarkEnd w:id="1492"/>
    <w:p w14:paraId="6B8C26B2">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（以下格式文件由参选人根据需要选用）</w:t>
      </w:r>
    </w:p>
    <w:p w14:paraId="55E7CF3E">
      <w:pPr>
        <w:pStyle w:val="48"/>
        <w:spacing w:line="360" w:lineRule="auto"/>
        <w:ind w:firstLine="480"/>
        <w:jc w:val="center"/>
        <w:rPr>
          <w:rFonts w:hint="default" w:ascii="宋体" w:hAnsi="宋体" w:cs="宋体"/>
          <w:color w:val="auto"/>
          <w:sz w:val="21"/>
          <w:szCs w:val="21"/>
          <w:highlight w:val="none"/>
        </w:rPr>
      </w:pPr>
      <w:r>
        <w:rPr>
          <w:rFonts w:ascii="宋体" w:hAnsi="宋体" w:cs="宋体"/>
          <w:b/>
          <w:color w:val="auto"/>
          <w:sz w:val="21"/>
          <w:szCs w:val="21"/>
          <w:highlight w:val="none"/>
        </w:rPr>
        <w:t>询问函、质疑函格式</w:t>
      </w:r>
    </w:p>
    <w:p w14:paraId="1048D1F9">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说明：本部分格式为参选人提交询问函、质疑函时使用，不属于参选文件格式的组成部分。</w:t>
      </w:r>
    </w:p>
    <w:p w14:paraId="7B82F5AB">
      <w:pPr>
        <w:pStyle w:val="48"/>
        <w:spacing w:line="360" w:lineRule="auto"/>
        <w:ind w:firstLine="480"/>
        <w:jc w:val="center"/>
        <w:rPr>
          <w:rFonts w:hint="default" w:ascii="宋体" w:hAnsi="宋体" w:cs="宋体"/>
          <w:color w:val="auto"/>
          <w:sz w:val="21"/>
          <w:szCs w:val="21"/>
          <w:highlight w:val="none"/>
        </w:rPr>
      </w:pPr>
      <w:r>
        <w:rPr>
          <w:rFonts w:ascii="宋体" w:hAnsi="宋体" w:cs="宋体"/>
          <w:b/>
          <w:color w:val="auto"/>
          <w:sz w:val="21"/>
          <w:szCs w:val="21"/>
          <w:highlight w:val="none"/>
        </w:rPr>
        <w:t>询问函</w:t>
      </w:r>
    </w:p>
    <w:p w14:paraId="13D46BE2">
      <w:pPr>
        <w:pStyle w:val="48"/>
        <w:spacing w:line="360" w:lineRule="auto"/>
        <w:ind w:firstLine="480"/>
        <w:rPr>
          <w:rFonts w:hint="default" w:ascii="宋体" w:hAnsi="宋体" w:cs="宋体"/>
          <w:color w:val="auto"/>
          <w:sz w:val="21"/>
          <w:szCs w:val="21"/>
          <w:highlight w:val="none"/>
        </w:rPr>
      </w:pPr>
      <w:r>
        <w:rPr>
          <w:rFonts w:hint="default" w:ascii="宋体" w:hAnsi="宋体" w:cs="宋体"/>
          <w:color w:val="auto"/>
          <w:sz w:val="21"/>
          <w:szCs w:val="21"/>
          <w:highlight w:val="none"/>
        </w:rPr>
        <w:t>广州中经招标有限公司</w:t>
      </w:r>
    </w:p>
    <w:p w14:paraId="61F24716">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我单位已登记并准备参与“</w:t>
      </w:r>
      <w:r>
        <w:rPr>
          <w:rFonts w:hint="eastAsia" w:ascii="宋体" w:hAnsi="宋体" w:cs="宋体"/>
          <w:color w:val="auto"/>
          <w:sz w:val="21"/>
          <w:szCs w:val="21"/>
          <w:highlight w:val="none"/>
          <w:lang w:eastAsia="zh-CN"/>
        </w:rPr>
        <w:t>广州医科大学附属妇女儿童医疗中心增城院区生活垃圾清运服务项目（二次）</w:t>
      </w:r>
      <w:r>
        <w:rPr>
          <w:rFonts w:ascii="宋体" w:hAnsi="宋体" w:cs="宋体"/>
          <w:color w:val="auto"/>
          <w:sz w:val="21"/>
          <w:szCs w:val="21"/>
          <w:highlight w:val="none"/>
        </w:rPr>
        <w:t>”项目（项目编号：</w:t>
      </w:r>
      <w:r>
        <w:rPr>
          <w:rFonts w:hint="eastAsia" w:ascii="宋体" w:hAnsi="宋体" w:cs="宋体"/>
          <w:color w:val="auto"/>
          <w:sz w:val="21"/>
          <w:szCs w:val="21"/>
          <w:highlight w:val="none"/>
          <w:lang w:eastAsia="zh-CN"/>
        </w:rPr>
        <w:t>GZZJ-FG-2026114</w:t>
      </w:r>
      <w:r>
        <w:rPr>
          <w:rFonts w:ascii="宋体" w:hAnsi="宋体" w:cs="宋体"/>
          <w:color w:val="auto"/>
          <w:sz w:val="21"/>
          <w:szCs w:val="21"/>
          <w:highlight w:val="none"/>
        </w:rPr>
        <w:t>）的遴选活动，现有以下几个内容（或条款）存在疑问（或无法理解），特提出询问。</w:t>
      </w:r>
    </w:p>
    <w:p w14:paraId="24FB0812">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一、_____________________（事项一）</w:t>
      </w:r>
    </w:p>
    <w:p w14:paraId="6B21B7E1">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（1）____________________（问题或条款内容）</w:t>
      </w:r>
    </w:p>
    <w:p w14:paraId="05E4F7B9">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（2）____________________（说明疑问或无法理解原因）</w:t>
      </w:r>
    </w:p>
    <w:p w14:paraId="4E592441">
      <w:pPr>
        <w:pStyle w:val="48"/>
        <w:spacing w:line="360" w:lineRule="auto"/>
        <w:ind w:firstLine="480"/>
        <w:rPr>
          <w:rFonts w:hint="default" w:ascii="宋体" w:hAnsi="宋体" w:cs="宋体"/>
          <w:color w:val="auto"/>
          <w:sz w:val="21"/>
          <w:szCs w:val="21"/>
          <w:highlight w:val="none"/>
        </w:rPr>
      </w:pPr>
    </w:p>
    <w:p w14:paraId="5DAD368E">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二、_____________________（事项二）</w:t>
      </w:r>
    </w:p>
    <w:p w14:paraId="5995C38F">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w:t>
      </w:r>
    </w:p>
    <w:p w14:paraId="2B42F8C7">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随附相关证明材料如下：（目录）</w:t>
      </w:r>
    </w:p>
    <w:p w14:paraId="14A7C75C">
      <w:pPr>
        <w:pStyle w:val="48"/>
        <w:spacing w:line="360" w:lineRule="auto"/>
        <w:ind w:left="420" w:leftChars="200"/>
        <w:rPr>
          <w:rFonts w:hint="default" w:ascii="宋体" w:hAnsi="宋体" w:cs="宋体"/>
          <w:color w:val="auto"/>
          <w:sz w:val="21"/>
          <w:szCs w:val="21"/>
          <w:highlight w:val="none"/>
        </w:rPr>
      </w:pPr>
      <w:r>
        <w:rPr>
          <w:rFonts w:ascii="宋体" w:hAnsi="宋体" w:cs="宋体"/>
          <w:color w:val="auto"/>
          <w:sz w:val="21"/>
          <w:szCs w:val="21"/>
          <w:highlight w:val="none"/>
        </w:rPr>
        <w:t>询问人（公章）：_____________________</w:t>
      </w:r>
    </w:p>
    <w:p w14:paraId="086C1BA7">
      <w:pPr>
        <w:pStyle w:val="48"/>
        <w:spacing w:line="360" w:lineRule="auto"/>
        <w:ind w:left="420" w:leftChars="200"/>
        <w:rPr>
          <w:rFonts w:hint="default" w:ascii="宋体" w:hAnsi="宋体" w:cs="宋体"/>
          <w:color w:val="auto"/>
          <w:sz w:val="21"/>
          <w:szCs w:val="21"/>
          <w:highlight w:val="none"/>
        </w:rPr>
      </w:pPr>
      <w:r>
        <w:rPr>
          <w:rFonts w:ascii="宋体" w:hAnsi="宋体" w:cs="宋体"/>
          <w:color w:val="auto"/>
          <w:sz w:val="21"/>
          <w:szCs w:val="21"/>
          <w:highlight w:val="none"/>
        </w:rPr>
        <w:t>法定代表人或授权代表（签字或盖章）：_____________________</w:t>
      </w:r>
    </w:p>
    <w:p w14:paraId="2A19D495">
      <w:pPr>
        <w:pStyle w:val="48"/>
        <w:spacing w:line="360" w:lineRule="auto"/>
        <w:ind w:left="420" w:leftChars="200"/>
        <w:rPr>
          <w:rFonts w:hint="default" w:ascii="宋体" w:hAnsi="宋体" w:cs="宋体"/>
          <w:color w:val="auto"/>
          <w:sz w:val="21"/>
          <w:szCs w:val="21"/>
          <w:highlight w:val="none"/>
        </w:rPr>
      </w:pPr>
      <w:r>
        <w:rPr>
          <w:rFonts w:ascii="宋体" w:hAnsi="宋体" w:cs="宋体"/>
          <w:color w:val="auto"/>
          <w:sz w:val="21"/>
          <w:szCs w:val="21"/>
          <w:highlight w:val="none"/>
        </w:rPr>
        <w:t>地址/邮编：_____________________</w:t>
      </w:r>
    </w:p>
    <w:p w14:paraId="6F862B1F">
      <w:pPr>
        <w:pStyle w:val="48"/>
        <w:spacing w:line="360" w:lineRule="auto"/>
        <w:ind w:left="420" w:leftChars="200"/>
        <w:rPr>
          <w:rFonts w:hint="default" w:ascii="宋体" w:hAnsi="宋体" w:cs="宋体"/>
          <w:color w:val="auto"/>
          <w:sz w:val="21"/>
          <w:szCs w:val="21"/>
          <w:highlight w:val="none"/>
        </w:rPr>
      </w:pPr>
      <w:r>
        <w:rPr>
          <w:rFonts w:ascii="宋体" w:hAnsi="宋体" w:cs="宋体"/>
          <w:color w:val="auto"/>
          <w:sz w:val="21"/>
          <w:szCs w:val="21"/>
          <w:highlight w:val="none"/>
        </w:rPr>
        <w:t>电话/传真：_____________________</w:t>
      </w:r>
    </w:p>
    <w:p w14:paraId="24ACB8D7">
      <w:pPr>
        <w:pStyle w:val="48"/>
        <w:spacing w:line="360" w:lineRule="auto"/>
        <w:ind w:left="420" w:leftChars="200"/>
        <w:rPr>
          <w:rFonts w:hint="default" w:ascii="宋体" w:hAnsi="宋体" w:cs="宋体"/>
          <w:color w:val="auto"/>
          <w:sz w:val="21"/>
          <w:szCs w:val="21"/>
          <w:highlight w:val="none"/>
        </w:rPr>
      </w:pPr>
      <w:r>
        <w:rPr>
          <w:rFonts w:ascii="宋体" w:hAnsi="宋体" w:cs="宋体"/>
          <w:color w:val="auto"/>
          <w:sz w:val="21"/>
          <w:szCs w:val="21"/>
          <w:highlight w:val="none"/>
        </w:rPr>
        <w:t>日期： 年 月 日</w:t>
      </w:r>
    </w:p>
    <w:p w14:paraId="627D285C">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 xml:space="preserve"> </w:t>
      </w:r>
    </w:p>
    <w:p w14:paraId="5321FE1E">
      <w:pPr>
        <w:pStyle w:val="48"/>
        <w:spacing w:line="360" w:lineRule="auto"/>
        <w:ind w:firstLine="480"/>
        <w:jc w:val="center"/>
        <w:rPr>
          <w:rFonts w:hint="default" w:ascii="宋体" w:hAnsi="宋体" w:cs="宋体"/>
          <w:color w:val="auto"/>
          <w:sz w:val="21"/>
          <w:szCs w:val="21"/>
          <w:highlight w:val="none"/>
        </w:rPr>
      </w:pPr>
      <w:r>
        <w:rPr>
          <w:rFonts w:ascii="宋体" w:hAnsi="宋体" w:cs="宋体"/>
          <w:b/>
          <w:color w:val="auto"/>
          <w:sz w:val="21"/>
          <w:szCs w:val="21"/>
          <w:highlight w:val="none"/>
        </w:rPr>
        <w:t>质疑函</w:t>
      </w:r>
    </w:p>
    <w:p w14:paraId="392911AC">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一、质疑人基本信息</w:t>
      </w:r>
    </w:p>
    <w:p w14:paraId="1B92825D">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质疑人：</w:t>
      </w:r>
    </w:p>
    <w:p w14:paraId="2BBAEA88">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地址：_____________________邮编：_____________________</w:t>
      </w:r>
    </w:p>
    <w:p w14:paraId="211A6718">
      <w:pPr>
        <w:pStyle w:val="48"/>
        <w:spacing w:line="360" w:lineRule="auto"/>
        <w:ind w:firstLine="480"/>
        <w:rPr>
          <w:rFonts w:ascii="宋体" w:hAnsi="宋体" w:cs="宋体"/>
          <w:color w:val="auto"/>
          <w:sz w:val="21"/>
          <w:szCs w:val="21"/>
          <w:highlight w:val="none"/>
        </w:rPr>
      </w:pPr>
      <w:r>
        <w:rPr>
          <w:rFonts w:ascii="宋体" w:hAnsi="宋体" w:cs="宋体"/>
          <w:color w:val="auto"/>
          <w:sz w:val="21"/>
          <w:szCs w:val="21"/>
          <w:highlight w:val="none"/>
        </w:rPr>
        <w:t>联系：_____________________联系电话：_____________________</w:t>
      </w:r>
    </w:p>
    <w:p w14:paraId="5E3D2647">
      <w:pPr>
        <w:pStyle w:val="48"/>
        <w:spacing w:line="360" w:lineRule="auto"/>
        <w:ind w:firstLine="48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法定代表人：</w:t>
      </w:r>
      <w:r>
        <w:rPr>
          <w:rFonts w:ascii="宋体" w:hAnsi="宋体" w:cs="宋体"/>
          <w:color w:val="auto"/>
          <w:sz w:val="21"/>
          <w:szCs w:val="21"/>
          <w:highlight w:val="none"/>
        </w:rPr>
        <w:t>_____________________</w:t>
      </w:r>
    </w:p>
    <w:p w14:paraId="6C6DE7D6">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授权代表：_____________________</w:t>
      </w:r>
    </w:p>
    <w:p w14:paraId="3B4ECA97">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联系电话：_____________________</w:t>
      </w:r>
    </w:p>
    <w:p w14:paraId="729EB36E">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地址：_____________________邮编：_____________________</w:t>
      </w:r>
    </w:p>
    <w:p w14:paraId="7298D39E">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二、质疑项目基本情况</w:t>
      </w:r>
    </w:p>
    <w:p w14:paraId="54925043">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质疑项目的名称：_____________________</w:t>
      </w:r>
    </w:p>
    <w:p w14:paraId="28686933">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质疑项目的编号：_____________________ 包号：_____________________</w:t>
      </w:r>
    </w:p>
    <w:p w14:paraId="3B8FF5DB">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遴选文件获取日期：_____________________</w:t>
      </w:r>
    </w:p>
    <w:p w14:paraId="0C218637">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三、质疑事项具体内容</w:t>
      </w:r>
    </w:p>
    <w:p w14:paraId="0F244F1A">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质疑事项1：_____________________</w:t>
      </w:r>
    </w:p>
    <w:p w14:paraId="6C56BD63">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事实依据：_____________________</w:t>
      </w:r>
    </w:p>
    <w:p w14:paraId="3339E4ED">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法律依据：_____________________</w:t>
      </w:r>
    </w:p>
    <w:p w14:paraId="6BF6CD5C">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质疑事项2：_____________________</w:t>
      </w:r>
    </w:p>
    <w:p w14:paraId="611D0B41">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w:t>
      </w:r>
    </w:p>
    <w:p w14:paraId="5504C8DB">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四、与质疑事项相关的质疑请求</w:t>
      </w:r>
    </w:p>
    <w:p w14:paraId="47FF2AB0">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请求：__________________________________________</w:t>
      </w:r>
    </w:p>
    <w:p w14:paraId="20C5255F">
      <w:pPr>
        <w:pStyle w:val="48"/>
        <w:spacing w:line="360" w:lineRule="auto"/>
        <w:rPr>
          <w:rFonts w:hint="default" w:ascii="宋体" w:hAnsi="宋体" w:cs="宋体"/>
          <w:color w:val="auto"/>
          <w:sz w:val="21"/>
          <w:szCs w:val="21"/>
          <w:highlight w:val="none"/>
        </w:rPr>
      </w:pPr>
      <w:r>
        <w:rPr>
          <w:rFonts w:ascii="宋体" w:hAnsi="宋体" w:cs="宋体"/>
          <w:color w:val="auto"/>
          <w:sz w:val="21"/>
          <w:szCs w:val="21"/>
          <w:highlight w:val="none"/>
        </w:rPr>
        <w:t xml:space="preserve"> 签字(签章)：_____________________ 公章：_____________________</w:t>
      </w:r>
    </w:p>
    <w:p w14:paraId="460DD855">
      <w:pPr>
        <w:pStyle w:val="48"/>
        <w:spacing w:line="360" w:lineRule="auto"/>
        <w:rPr>
          <w:rFonts w:hint="default" w:ascii="宋体" w:hAnsi="宋体" w:cs="宋体"/>
          <w:color w:val="auto"/>
          <w:sz w:val="21"/>
          <w:szCs w:val="21"/>
          <w:highlight w:val="none"/>
        </w:rPr>
      </w:pPr>
      <w:r>
        <w:rPr>
          <w:rFonts w:ascii="宋体" w:hAnsi="宋体" w:cs="宋体"/>
          <w:color w:val="auto"/>
          <w:sz w:val="21"/>
          <w:szCs w:val="21"/>
          <w:highlight w:val="none"/>
        </w:rPr>
        <w:t>日期： 年 月 日</w:t>
      </w:r>
    </w:p>
    <w:p w14:paraId="646DE4DD">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质疑函制作说明：</w:t>
      </w:r>
    </w:p>
    <w:p w14:paraId="63588958">
      <w:pPr>
        <w:pStyle w:val="48"/>
        <w:spacing w:line="360" w:lineRule="auto"/>
        <w:ind w:firstLine="480"/>
        <w:outlineLvl w:val="1"/>
        <w:rPr>
          <w:rFonts w:hint="default" w:ascii="宋体" w:hAnsi="宋体" w:cs="宋体"/>
          <w:color w:val="auto"/>
          <w:sz w:val="21"/>
          <w:szCs w:val="21"/>
          <w:highlight w:val="none"/>
        </w:rPr>
      </w:pPr>
      <w:bookmarkStart w:id="1493" w:name="_Toc27345"/>
      <w:bookmarkStart w:id="1494" w:name="_Toc503"/>
      <w:bookmarkStart w:id="1495" w:name="_Toc17489"/>
      <w:bookmarkStart w:id="1496" w:name="_Toc9540"/>
      <w:r>
        <w:rPr>
          <w:rFonts w:ascii="宋体" w:hAnsi="宋体" w:cs="宋体"/>
          <w:color w:val="auto"/>
          <w:sz w:val="21"/>
          <w:szCs w:val="21"/>
          <w:highlight w:val="none"/>
        </w:rPr>
        <w:t>1.参选人提出质疑时，应提交质疑函和必要的证明材料。</w:t>
      </w:r>
      <w:bookmarkEnd w:id="1493"/>
      <w:bookmarkEnd w:id="1494"/>
      <w:bookmarkEnd w:id="1495"/>
      <w:bookmarkEnd w:id="1496"/>
    </w:p>
    <w:p w14:paraId="502485C1">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2.质疑参选人若委托代理人进行质疑的，质疑函应按要求列明“授权代表”的有关内容，并在附件中提交由质疑参选人签署的授权委托书。授权委托书应载明代理人的姓名、代理事项、具体权限、期限和相关事项。</w:t>
      </w:r>
    </w:p>
    <w:p w14:paraId="24A16548">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3.质疑参选人若对项目的某一分包进行质疑，质疑函中应列明具体采购包号。</w:t>
      </w:r>
    </w:p>
    <w:p w14:paraId="4763DD1E">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4.质疑函的质疑事项应具体、明确，并有必要的事实依据和法律依据。</w:t>
      </w:r>
    </w:p>
    <w:p w14:paraId="045E95B5">
      <w:pPr>
        <w:pStyle w:val="48"/>
        <w:spacing w:line="360" w:lineRule="auto"/>
        <w:ind w:firstLine="480"/>
        <w:outlineLvl w:val="1"/>
        <w:rPr>
          <w:rFonts w:hint="default" w:ascii="宋体" w:hAnsi="宋体" w:cs="宋体"/>
          <w:color w:val="auto"/>
          <w:sz w:val="21"/>
          <w:szCs w:val="21"/>
          <w:highlight w:val="none"/>
        </w:rPr>
      </w:pPr>
      <w:bookmarkStart w:id="1497" w:name="_Toc14201"/>
      <w:bookmarkStart w:id="1498" w:name="_Toc11497"/>
      <w:bookmarkStart w:id="1499" w:name="_Toc29044"/>
      <w:bookmarkStart w:id="1500" w:name="_Toc19122"/>
      <w:r>
        <w:rPr>
          <w:rFonts w:ascii="宋体" w:hAnsi="宋体" w:cs="宋体"/>
          <w:color w:val="auto"/>
          <w:sz w:val="21"/>
          <w:szCs w:val="21"/>
          <w:highlight w:val="none"/>
        </w:rPr>
        <w:t>5.质疑函的质疑请求应与质疑事项相关。</w:t>
      </w:r>
      <w:bookmarkEnd w:id="1497"/>
      <w:bookmarkEnd w:id="1498"/>
      <w:bookmarkEnd w:id="1499"/>
      <w:bookmarkEnd w:id="1500"/>
    </w:p>
    <w:p w14:paraId="688FE551">
      <w:pPr>
        <w:pStyle w:val="48"/>
        <w:spacing w:line="360" w:lineRule="auto"/>
        <w:ind w:firstLine="480"/>
        <w:rPr>
          <w:rFonts w:hint="default" w:ascii="宋体" w:hAnsi="宋体" w:cs="宋体"/>
          <w:color w:val="auto"/>
          <w:sz w:val="21"/>
          <w:szCs w:val="21"/>
          <w:highlight w:val="none"/>
        </w:rPr>
      </w:pPr>
      <w:r>
        <w:rPr>
          <w:rFonts w:ascii="宋体" w:hAnsi="宋体" w:cs="宋体"/>
          <w:color w:val="auto"/>
          <w:sz w:val="21"/>
          <w:szCs w:val="21"/>
          <w:highlight w:val="none"/>
        </w:rPr>
        <w:t>6.质疑参选人为自然人的，质疑函应由本人签字；质疑参选人为法人或者其他组织的，质疑函应由法定代表人，或者其授权代表签字或者盖章，并加盖</w:t>
      </w:r>
      <w:r>
        <w:rPr>
          <w:rFonts w:hint="eastAsia" w:ascii="宋体" w:hAnsi="宋体" w:cs="宋体"/>
          <w:color w:val="auto"/>
          <w:sz w:val="21"/>
          <w:szCs w:val="21"/>
          <w:highlight w:val="none"/>
          <w:lang w:eastAsia="zh-CN"/>
        </w:rPr>
        <w:t>鲜色</w:t>
      </w:r>
      <w:r>
        <w:rPr>
          <w:rFonts w:ascii="宋体" w:hAnsi="宋体" w:cs="宋体"/>
          <w:color w:val="auto"/>
          <w:sz w:val="21"/>
          <w:szCs w:val="21"/>
          <w:highlight w:val="none"/>
        </w:rPr>
        <w:t>公章。</w:t>
      </w:r>
    </w:p>
    <w:sectPr>
      <w:headerReference r:id="rId6" w:type="default"/>
      <w:footerReference r:id="rId7" w:type="default"/>
      <w:pgSz w:w="11906" w:h="16838"/>
      <w:pgMar w:top="1440" w:right="1800" w:bottom="1440" w:left="1576"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81"/>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0" w:csb1="00000000"/>
  </w:font>
  <w:font w:name="..ì.">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瀹嬩綋">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FA94E">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AECC8">
    <w:pPr>
      <w:pStyle w:val="15"/>
      <w:tabs>
        <w:tab w:val="left" w:pos="6415"/>
        <w:tab w:val="right" w:pos="12499"/>
      </w:tabs>
      <w:jc w:val="cente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58</w:t>
    </w:r>
    <w:r>
      <w:rPr>
        <w:rFonts w:hint="eastAsia"/>
        <w:lang w:eastAsia="zh-CN"/>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00CBE">
    <w:pPr>
      <w:pStyle w:val="15"/>
      <w:tabs>
        <w:tab w:val="left" w:pos="6415"/>
        <w:tab w:val="right" w:pos="12499"/>
      </w:tabs>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 共 </w:t>
    </w:r>
    <w:r>
      <w:rPr>
        <w:rFonts w:hint="eastAsia"/>
        <w:lang w:val="en-US" w:eastAsia="zh-CN"/>
      </w:rPr>
      <w:t>58</w:t>
    </w:r>
    <w:r>
      <w:rPr>
        <w:rFonts w:hint="eastAsia"/>
        <w:lang w:eastAsia="zh-CN"/>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22DF5">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AE586">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36602"/>
    <w:multiLevelType w:val="multilevel"/>
    <w:tmpl w:val="0A336602"/>
    <w:lvl w:ilvl="0" w:tentative="0">
      <w:start w:val="1"/>
      <w:numFmt w:val="chineseCountingThousand"/>
      <w:lvlText w:val="%1、"/>
      <w:lvlJc w:val="left"/>
      <w:pPr>
        <w:ind w:left="993" w:hanging="425"/>
      </w:pPr>
      <w:rPr>
        <w:rFonts w:hint="eastAsia" w:cs="Times New Roman"/>
        <w:sz w:val="21"/>
        <w:szCs w:val="21"/>
      </w:rPr>
    </w:lvl>
    <w:lvl w:ilvl="1" w:tentative="0">
      <w:start w:val="1"/>
      <w:numFmt w:val="chineseCountingThousand"/>
      <w:lvlText w:val="（%2）"/>
      <w:lvlJc w:val="left"/>
      <w:pPr>
        <w:ind w:left="1277" w:hanging="567"/>
      </w:pPr>
      <w:rPr>
        <w:rFonts w:hint="eastAsia" w:ascii="宋体" w:hAnsi="宋体" w:eastAsia="宋体" w:cs="Times New Roman"/>
        <w:b/>
        <w:color w:val="auto"/>
        <w:sz w:val="21"/>
        <w:szCs w:val="21"/>
      </w:rPr>
    </w:lvl>
    <w:lvl w:ilvl="2" w:tentative="0">
      <w:start w:val="1"/>
      <w:numFmt w:val="decimal"/>
      <w:lvlText w:val="%3."/>
      <w:lvlJc w:val="left"/>
      <w:pPr>
        <w:ind w:left="1135" w:hanging="567"/>
      </w:pPr>
      <w:rPr>
        <w:rFonts w:hint="eastAsia" w:cs="Times New Roman"/>
        <w:b w:val="0"/>
      </w:rPr>
    </w:lvl>
    <w:lvl w:ilvl="3" w:tentative="0">
      <w:start w:val="1"/>
      <w:numFmt w:val="decimal"/>
      <w:lvlText w:val="(%4)"/>
      <w:lvlJc w:val="left"/>
      <w:pPr>
        <w:ind w:left="1984" w:hanging="708"/>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1">
    <w:nsid w:val="13A70F57"/>
    <w:multiLevelType w:val="multilevel"/>
    <w:tmpl w:val="13A70F57"/>
    <w:lvl w:ilvl="0" w:tentative="0">
      <w:start w:val="1"/>
      <w:numFmt w:val="chineseCountingThousand"/>
      <w:lvlText w:val="%1、"/>
      <w:lvlJc w:val="left"/>
      <w:pPr>
        <w:ind w:left="425" w:hanging="425"/>
      </w:pPr>
      <w:rPr>
        <w:rFonts w:hint="eastAsia"/>
        <w:sz w:val="21"/>
        <w:szCs w:val="21"/>
      </w:rPr>
    </w:lvl>
    <w:lvl w:ilvl="1" w:tentative="0">
      <w:start w:val="1"/>
      <w:numFmt w:val="chineseCountingThousand"/>
      <w:lvlText w:val="（%2）"/>
      <w:lvlJc w:val="left"/>
      <w:pPr>
        <w:ind w:left="992" w:hanging="567"/>
      </w:pPr>
      <w:rPr>
        <w:rFonts w:hint="eastAsia" w:ascii="仿宋_GB2312" w:eastAsia="仿宋_GB2312"/>
        <w:sz w:val="24"/>
        <w:szCs w:val="24"/>
      </w:rPr>
    </w:lvl>
    <w:lvl w:ilvl="2" w:tentative="0">
      <w:start w:val="1"/>
      <w:numFmt w:val="decimal"/>
      <w:lvlText w:val="%3."/>
      <w:lvlJc w:val="left"/>
      <w:pPr>
        <w:ind w:left="1418" w:hanging="567"/>
      </w:pPr>
      <w:rPr>
        <w:rFonts w:hint="eastAsia" w:ascii="仿宋_GB2312" w:eastAsia="仿宋_GB2312"/>
        <w:color w:val="auto"/>
        <w:sz w:val="24"/>
        <w:szCs w:val="24"/>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14EC56CB"/>
    <w:multiLevelType w:val="multilevel"/>
    <w:tmpl w:val="14EC56CB"/>
    <w:lvl w:ilvl="0" w:tentative="0">
      <w:start w:val="1"/>
      <w:numFmt w:val="chineseCountingThousand"/>
      <w:lvlText w:val="%1、"/>
      <w:lvlJc w:val="left"/>
      <w:pPr>
        <w:ind w:left="993" w:hanging="425"/>
      </w:pPr>
      <w:rPr>
        <w:rFonts w:hint="eastAsia" w:cs="Times New Roman"/>
        <w:sz w:val="21"/>
        <w:szCs w:val="21"/>
      </w:rPr>
    </w:lvl>
    <w:lvl w:ilvl="1" w:tentative="0">
      <w:start w:val="1"/>
      <w:numFmt w:val="chineseCountingThousand"/>
      <w:lvlText w:val="（%2）"/>
      <w:lvlJc w:val="left"/>
      <w:pPr>
        <w:ind w:left="1277" w:hanging="567"/>
      </w:pPr>
      <w:rPr>
        <w:rFonts w:hint="eastAsia" w:ascii="宋体" w:hAnsi="宋体" w:eastAsia="宋体" w:cs="Times New Roman"/>
        <w:b/>
        <w:color w:val="auto"/>
        <w:sz w:val="21"/>
        <w:szCs w:val="21"/>
      </w:rPr>
    </w:lvl>
    <w:lvl w:ilvl="2" w:tentative="0">
      <w:start w:val="1"/>
      <w:numFmt w:val="decimal"/>
      <w:lvlText w:val="%3."/>
      <w:lvlJc w:val="left"/>
      <w:pPr>
        <w:ind w:left="1135" w:hanging="567"/>
      </w:pPr>
      <w:rPr>
        <w:rFonts w:hint="eastAsia" w:cs="Times New Roman"/>
        <w:b w:val="0"/>
      </w:rPr>
    </w:lvl>
    <w:lvl w:ilvl="3" w:tentative="0">
      <w:start w:val="1"/>
      <w:numFmt w:val="decimal"/>
      <w:lvlText w:val="(%4)"/>
      <w:lvlJc w:val="left"/>
      <w:pPr>
        <w:ind w:left="1984" w:hanging="708"/>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3">
    <w:nsid w:val="32411EB3"/>
    <w:multiLevelType w:val="multilevel"/>
    <w:tmpl w:val="32411EB3"/>
    <w:lvl w:ilvl="0" w:tentative="0">
      <w:start w:val="1"/>
      <w:numFmt w:val="chineseCountingThousand"/>
      <w:lvlText w:val="%1、"/>
      <w:lvlJc w:val="left"/>
      <w:pPr>
        <w:ind w:left="425" w:hanging="425"/>
      </w:pPr>
      <w:rPr>
        <w:rFonts w:hint="eastAsia"/>
        <w:sz w:val="21"/>
        <w:szCs w:val="21"/>
      </w:rPr>
    </w:lvl>
    <w:lvl w:ilvl="1" w:tentative="0">
      <w:start w:val="1"/>
      <w:numFmt w:val="chineseCountingThousand"/>
      <w:lvlText w:val="（%2）"/>
      <w:lvlJc w:val="left"/>
      <w:pPr>
        <w:ind w:left="709" w:hanging="567"/>
      </w:pPr>
      <w:rPr>
        <w:rFonts w:hint="eastAsia" w:ascii="宋体" w:hAnsi="宋体" w:eastAsia="宋体"/>
        <w:b w:val="0"/>
        <w:bCs w:val="0"/>
        <w:color w:val="auto"/>
        <w:sz w:val="21"/>
        <w:szCs w:val="21"/>
      </w:rPr>
    </w:lvl>
    <w:lvl w:ilvl="2" w:tentative="0">
      <w:start w:val="1"/>
      <w:numFmt w:val="decimal"/>
      <w:lvlText w:val="%3."/>
      <w:lvlJc w:val="left"/>
      <w:pPr>
        <w:ind w:left="851" w:hanging="567"/>
      </w:pPr>
      <w:rPr>
        <w:rFonts w:hint="eastAsia" w:ascii="宋体" w:hAnsi="宋体" w:eastAsia="宋体"/>
        <w:b w:val="0"/>
        <w:sz w:val="21"/>
        <w:szCs w:val="21"/>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348645F4"/>
    <w:multiLevelType w:val="multilevel"/>
    <w:tmpl w:val="348645F4"/>
    <w:lvl w:ilvl="0" w:tentative="0">
      <w:start w:val="1"/>
      <w:numFmt w:val="decimal"/>
      <w:lvlText w:val="%1."/>
      <w:lvlJc w:val="left"/>
      <w:pPr>
        <w:tabs>
          <w:tab w:val="left" w:pos="840"/>
        </w:tabs>
        <w:ind w:left="840" w:hanging="420"/>
      </w:pPr>
      <w:rPr>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4F65E9B"/>
    <w:multiLevelType w:val="multilevel"/>
    <w:tmpl w:val="44F65E9B"/>
    <w:lvl w:ilvl="0" w:tentative="0">
      <w:start w:val="1"/>
      <w:numFmt w:val="chineseCountingThousand"/>
      <w:lvlText w:val="%1、"/>
      <w:lvlJc w:val="left"/>
      <w:pPr>
        <w:ind w:left="425" w:hanging="425"/>
      </w:pPr>
      <w:rPr>
        <w:rFonts w:hint="eastAsia"/>
        <w:sz w:val="24"/>
        <w:szCs w:val="24"/>
      </w:rPr>
    </w:lvl>
    <w:lvl w:ilvl="1" w:tentative="0">
      <w:start w:val="1"/>
      <w:numFmt w:val="chineseCountingThousand"/>
      <w:lvlText w:val="（%2）"/>
      <w:lvlJc w:val="left"/>
      <w:pPr>
        <w:ind w:left="1844" w:hanging="567"/>
      </w:pPr>
      <w:rPr>
        <w:rFonts w:hint="eastAsia" w:ascii="宋体" w:hAnsi="宋体" w:eastAsia="宋体"/>
        <w:b w:val="0"/>
        <w:sz w:val="21"/>
        <w:szCs w:val="21"/>
      </w:rPr>
    </w:lvl>
    <w:lvl w:ilvl="2" w:tentative="0">
      <w:start w:val="1"/>
      <w:numFmt w:val="decimal"/>
      <w:lvlText w:val="%3."/>
      <w:lvlJc w:val="left"/>
      <w:pPr>
        <w:ind w:left="1418" w:hanging="567"/>
      </w:pPr>
      <w:rPr>
        <w:rFonts w:hint="eastAsia" w:ascii="仿宋_GB2312" w:eastAsia="仿宋_GB2312"/>
        <w:color w:val="auto"/>
        <w:sz w:val="24"/>
        <w:szCs w:val="24"/>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44FD527E"/>
    <w:multiLevelType w:val="multilevel"/>
    <w:tmpl w:val="44FD527E"/>
    <w:lvl w:ilvl="0" w:tentative="0">
      <w:start w:val="1"/>
      <w:numFmt w:val="chineseCountingThousand"/>
      <w:lvlText w:val="%1、"/>
      <w:lvlJc w:val="left"/>
      <w:pPr>
        <w:ind w:left="425" w:hanging="425"/>
      </w:pPr>
      <w:rPr>
        <w:rFonts w:hint="eastAsia"/>
        <w:sz w:val="24"/>
        <w:szCs w:val="24"/>
      </w:rPr>
    </w:lvl>
    <w:lvl w:ilvl="1" w:tentative="0">
      <w:start w:val="1"/>
      <w:numFmt w:val="chineseCountingThousand"/>
      <w:lvlText w:val="（%2）"/>
      <w:lvlJc w:val="left"/>
      <w:pPr>
        <w:ind w:left="992" w:hanging="567"/>
      </w:pPr>
      <w:rPr>
        <w:rFonts w:hint="eastAsia" w:ascii="宋体" w:hAnsi="宋体" w:eastAsia="宋体"/>
        <w:sz w:val="21"/>
        <w:szCs w:val="21"/>
      </w:rPr>
    </w:lvl>
    <w:lvl w:ilvl="2" w:tentative="0">
      <w:start w:val="1"/>
      <w:numFmt w:val="decimal"/>
      <w:lvlText w:val="%3."/>
      <w:lvlJc w:val="left"/>
      <w:pPr>
        <w:ind w:left="141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4C230CE6"/>
    <w:multiLevelType w:val="multilevel"/>
    <w:tmpl w:val="4C230CE6"/>
    <w:lvl w:ilvl="0" w:tentative="0">
      <w:start w:val="1"/>
      <w:numFmt w:val="chineseCountingThousand"/>
      <w:lvlText w:val="%1、"/>
      <w:lvlJc w:val="left"/>
      <w:pPr>
        <w:ind w:left="425" w:hanging="425"/>
      </w:pPr>
      <w:rPr>
        <w:rFonts w:hint="eastAsia"/>
        <w:sz w:val="24"/>
        <w:szCs w:val="24"/>
      </w:rPr>
    </w:lvl>
    <w:lvl w:ilvl="1" w:tentative="0">
      <w:start w:val="1"/>
      <w:numFmt w:val="chineseCountingThousand"/>
      <w:lvlText w:val="（%2）"/>
      <w:lvlJc w:val="left"/>
      <w:pPr>
        <w:ind w:left="1844" w:hanging="567"/>
      </w:pPr>
      <w:rPr>
        <w:rFonts w:hint="eastAsia" w:ascii="宋体" w:hAnsi="宋体" w:eastAsia="宋体"/>
        <w:sz w:val="21"/>
        <w:szCs w:val="21"/>
      </w:rPr>
    </w:lvl>
    <w:lvl w:ilvl="2" w:tentative="0">
      <w:start w:val="1"/>
      <w:numFmt w:val="decimal"/>
      <w:lvlText w:val="%3."/>
      <w:lvlJc w:val="left"/>
      <w:pPr>
        <w:ind w:left="141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53B17D05"/>
    <w:multiLevelType w:val="multilevel"/>
    <w:tmpl w:val="53B17D05"/>
    <w:lvl w:ilvl="0" w:tentative="0">
      <w:start w:val="1"/>
      <w:numFmt w:val="chineseCountingThousand"/>
      <w:lvlText w:val="%1、"/>
      <w:lvlJc w:val="left"/>
      <w:pPr>
        <w:ind w:left="425" w:hanging="425"/>
      </w:pPr>
      <w:rPr>
        <w:rFonts w:hint="eastAsia"/>
        <w:sz w:val="24"/>
        <w:szCs w:val="24"/>
      </w:rPr>
    </w:lvl>
    <w:lvl w:ilvl="1" w:tentative="0">
      <w:start w:val="1"/>
      <w:numFmt w:val="chineseCountingThousand"/>
      <w:lvlText w:val="（%2）"/>
      <w:lvlJc w:val="left"/>
      <w:pPr>
        <w:ind w:left="992" w:hanging="567"/>
      </w:pPr>
      <w:rPr>
        <w:rFonts w:hint="eastAsia" w:ascii="宋体" w:hAnsi="宋体" w:eastAsia="宋体"/>
        <w:b/>
        <w:bCs/>
        <w:color w:val="auto"/>
        <w:sz w:val="24"/>
        <w:szCs w:val="24"/>
      </w:rPr>
    </w:lvl>
    <w:lvl w:ilvl="2" w:tentative="0">
      <w:start w:val="1"/>
      <w:numFmt w:val="decimal"/>
      <w:lvlText w:val="（%3）"/>
      <w:lvlJc w:val="left"/>
      <w:pPr>
        <w:ind w:left="987" w:hanging="647"/>
      </w:pPr>
      <w:rPr>
        <w:rFonts w:hint="default" w:ascii="宋体" w:hAnsi="宋体" w:eastAsia="宋体"/>
        <w:b w:val="0"/>
        <w:sz w:val="21"/>
        <w:szCs w:val="21"/>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56216BF3"/>
    <w:multiLevelType w:val="multilevel"/>
    <w:tmpl w:val="56216BF3"/>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E6F60E4"/>
    <w:multiLevelType w:val="multilevel"/>
    <w:tmpl w:val="6E6F60E4"/>
    <w:lvl w:ilvl="0" w:tentative="0">
      <w:start w:val="1"/>
      <w:numFmt w:val="chineseCountingThousand"/>
      <w:lvlText w:val="%1、"/>
      <w:lvlJc w:val="left"/>
      <w:pPr>
        <w:ind w:left="425" w:hanging="425"/>
      </w:pPr>
      <w:rPr>
        <w:rFonts w:hint="eastAsia"/>
        <w:sz w:val="24"/>
        <w:szCs w:val="24"/>
      </w:rPr>
    </w:lvl>
    <w:lvl w:ilvl="1" w:tentative="0">
      <w:start w:val="1"/>
      <w:numFmt w:val="chineseCountingThousand"/>
      <w:lvlText w:val="（%2）"/>
      <w:lvlJc w:val="left"/>
      <w:pPr>
        <w:ind w:left="953" w:hanging="567"/>
      </w:pPr>
      <w:rPr>
        <w:rFonts w:hint="eastAsia" w:ascii="宋体" w:hAnsi="宋体" w:eastAsia="宋体"/>
        <w:sz w:val="21"/>
        <w:szCs w:val="21"/>
      </w:rPr>
    </w:lvl>
    <w:lvl w:ilvl="2" w:tentative="0">
      <w:start w:val="1"/>
      <w:numFmt w:val="decimal"/>
      <w:lvlText w:val="%3."/>
      <w:lvlJc w:val="left"/>
      <w:pPr>
        <w:ind w:left="141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3"/>
  </w:num>
  <w:num w:numId="2">
    <w:abstractNumId w:val="8"/>
  </w:num>
  <w:num w:numId="3">
    <w:abstractNumId w:val="0"/>
  </w:num>
  <w:num w:numId="4">
    <w:abstractNumId w:val="1"/>
  </w:num>
  <w:num w:numId="5">
    <w:abstractNumId w:val="7"/>
  </w:num>
  <w:num w:numId="6">
    <w:abstractNumId w:val="10"/>
  </w:num>
  <w:num w:numId="7">
    <w:abstractNumId w:val="2"/>
  </w:num>
  <w:num w:numId="8">
    <w:abstractNumId w:val="6"/>
  </w:num>
  <w:num w:numId="9">
    <w:abstractNumId w:val="9"/>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hideSpellingErrors/>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yMGQ3ZmQyMmNjNmFjZTc4MGNhNDNhM2E1N2JkZjAifQ=="/>
  </w:docVars>
  <w:rsids>
    <w:rsidRoot w:val="00172A27"/>
    <w:rsid w:val="00063A10"/>
    <w:rsid w:val="000709EE"/>
    <w:rsid w:val="0009249E"/>
    <w:rsid w:val="000C024B"/>
    <w:rsid w:val="000C68D6"/>
    <w:rsid w:val="000F0CC0"/>
    <w:rsid w:val="00103EEF"/>
    <w:rsid w:val="00172A27"/>
    <w:rsid w:val="00177715"/>
    <w:rsid w:val="00192E67"/>
    <w:rsid w:val="001A2968"/>
    <w:rsid w:val="00247F00"/>
    <w:rsid w:val="0026415E"/>
    <w:rsid w:val="00277035"/>
    <w:rsid w:val="002973EE"/>
    <w:rsid w:val="002B56A3"/>
    <w:rsid w:val="002E329C"/>
    <w:rsid w:val="00310B1A"/>
    <w:rsid w:val="00330D19"/>
    <w:rsid w:val="003329B3"/>
    <w:rsid w:val="00342523"/>
    <w:rsid w:val="0034757D"/>
    <w:rsid w:val="003607DC"/>
    <w:rsid w:val="003766A7"/>
    <w:rsid w:val="0037675A"/>
    <w:rsid w:val="00385A0F"/>
    <w:rsid w:val="00385A77"/>
    <w:rsid w:val="00396148"/>
    <w:rsid w:val="00396156"/>
    <w:rsid w:val="00397F53"/>
    <w:rsid w:val="003A523E"/>
    <w:rsid w:val="003D033B"/>
    <w:rsid w:val="003F0093"/>
    <w:rsid w:val="00401C6B"/>
    <w:rsid w:val="004134D7"/>
    <w:rsid w:val="00443541"/>
    <w:rsid w:val="00487C00"/>
    <w:rsid w:val="00494FFB"/>
    <w:rsid w:val="004B1729"/>
    <w:rsid w:val="004C75C7"/>
    <w:rsid w:val="004E7EC4"/>
    <w:rsid w:val="00503662"/>
    <w:rsid w:val="005051D7"/>
    <w:rsid w:val="005124EB"/>
    <w:rsid w:val="00512FD7"/>
    <w:rsid w:val="00532CFD"/>
    <w:rsid w:val="005338B4"/>
    <w:rsid w:val="00562C80"/>
    <w:rsid w:val="005915B8"/>
    <w:rsid w:val="005C3E07"/>
    <w:rsid w:val="005D6733"/>
    <w:rsid w:val="005D69CE"/>
    <w:rsid w:val="005E06B5"/>
    <w:rsid w:val="005F43B1"/>
    <w:rsid w:val="00601A05"/>
    <w:rsid w:val="00616D31"/>
    <w:rsid w:val="00624C53"/>
    <w:rsid w:val="00624EA0"/>
    <w:rsid w:val="00636475"/>
    <w:rsid w:val="00663964"/>
    <w:rsid w:val="00684066"/>
    <w:rsid w:val="00684748"/>
    <w:rsid w:val="0069710A"/>
    <w:rsid w:val="006B15D4"/>
    <w:rsid w:val="006B17B3"/>
    <w:rsid w:val="006B1EBF"/>
    <w:rsid w:val="006E05BE"/>
    <w:rsid w:val="006E6376"/>
    <w:rsid w:val="00735C4D"/>
    <w:rsid w:val="007617A7"/>
    <w:rsid w:val="0076754D"/>
    <w:rsid w:val="00783415"/>
    <w:rsid w:val="00785AD3"/>
    <w:rsid w:val="007A21E0"/>
    <w:rsid w:val="007A4D77"/>
    <w:rsid w:val="007B33B5"/>
    <w:rsid w:val="007E2437"/>
    <w:rsid w:val="007E299B"/>
    <w:rsid w:val="007E2A9D"/>
    <w:rsid w:val="007F08DC"/>
    <w:rsid w:val="0080573C"/>
    <w:rsid w:val="0082263D"/>
    <w:rsid w:val="0082390C"/>
    <w:rsid w:val="00875762"/>
    <w:rsid w:val="008858B4"/>
    <w:rsid w:val="008B137D"/>
    <w:rsid w:val="009373EE"/>
    <w:rsid w:val="009403D6"/>
    <w:rsid w:val="00966EC8"/>
    <w:rsid w:val="0097454D"/>
    <w:rsid w:val="0099232E"/>
    <w:rsid w:val="00994AAF"/>
    <w:rsid w:val="009A0174"/>
    <w:rsid w:val="009A13B3"/>
    <w:rsid w:val="009A1D2C"/>
    <w:rsid w:val="009A7605"/>
    <w:rsid w:val="009C337D"/>
    <w:rsid w:val="009E446E"/>
    <w:rsid w:val="00A03E3A"/>
    <w:rsid w:val="00A146AC"/>
    <w:rsid w:val="00A3015A"/>
    <w:rsid w:val="00A331F0"/>
    <w:rsid w:val="00A41940"/>
    <w:rsid w:val="00A43619"/>
    <w:rsid w:val="00A6244D"/>
    <w:rsid w:val="00A70F55"/>
    <w:rsid w:val="00A74FEF"/>
    <w:rsid w:val="00A8434A"/>
    <w:rsid w:val="00AA179A"/>
    <w:rsid w:val="00AC4A86"/>
    <w:rsid w:val="00AD4FC4"/>
    <w:rsid w:val="00B11B74"/>
    <w:rsid w:val="00B27CA5"/>
    <w:rsid w:val="00B27E1F"/>
    <w:rsid w:val="00B55093"/>
    <w:rsid w:val="00B865E9"/>
    <w:rsid w:val="00B87A8B"/>
    <w:rsid w:val="00B90FD4"/>
    <w:rsid w:val="00BE4298"/>
    <w:rsid w:val="00BF6CB5"/>
    <w:rsid w:val="00BF7986"/>
    <w:rsid w:val="00C11E74"/>
    <w:rsid w:val="00C14B91"/>
    <w:rsid w:val="00C45AF7"/>
    <w:rsid w:val="00C557F6"/>
    <w:rsid w:val="00C85BD4"/>
    <w:rsid w:val="00C87A3C"/>
    <w:rsid w:val="00C9252C"/>
    <w:rsid w:val="00CC2399"/>
    <w:rsid w:val="00CD222E"/>
    <w:rsid w:val="00CE25E0"/>
    <w:rsid w:val="00D05B43"/>
    <w:rsid w:val="00D364CC"/>
    <w:rsid w:val="00D5704F"/>
    <w:rsid w:val="00D7737E"/>
    <w:rsid w:val="00D80E2A"/>
    <w:rsid w:val="00D817F9"/>
    <w:rsid w:val="00D92792"/>
    <w:rsid w:val="00DB7A48"/>
    <w:rsid w:val="00DC73A8"/>
    <w:rsid w:val="00DE63C4"/>
    <w:rsid w:val="00DE66B4"/>
    <w:rsid w:val="00DF4378"/>
    <w:rsid w:val="00DF566D"/>
    <w:rsid w:val="00E411E6"/>
    <w:rsid w:val="00E53491"/>
    <w:rsid w:val="00E6164F"/>
    <w:rsid w:val="00E630B0"/>
    <w:rsid w:val="00E76155"/>
    <w:rsid w:val="00EC502A"/>
    <w:rsid w:val="00ED3209"/>
    <w:rsid w:val="00EE01AB"/>
    <w:rsid w:val="00F06684"/>
    <w:rsid w:val="00F101D8"/>
    <w:rsid w:val="00F65E3C"/>
    <w:rsid w:val="00F728FC"/>
    <w:rsid w:val="00F750D1"/>
    <w:rsid w:val="00F85BF1"/>
    <w:rsid w:val="00F90993"/>
    <w:rsid w:val="00FA3A8A"/>
    <w:rsid w:val="00FF5975"/>
    <w:rsid w:val="01017684"/>
    <w:rsid w:val="01105B89"/>
    <w:rsid w:val="013B4944"/>
    <w:rsid w:val="01483505"/>
    <w:rsid w:val="014B42D8"/>
    <w:rsid w:val="014F219D"/>
    <w:rsid w:val="014F6641"/>
    <w:rsid w:val="0159301C"/>
    <w:rsid w:val="01695955"/>
    <w:rsid w:val="016E4477"/>
    <w:rsid w:val="016F283F"/>
    <w:rsid w:val="01785C18"/>
    <w:rsid w:val="018957E0"/>
    <w:rsid w:val="018D0F17"/>
    <w:rsid w:val="01A55749"/>
    <w:rsid w:val="01AC3523"/>
    <w:rsid w:val="01AE15BA"/>
    <w:rsid w:val="01DA23AF"/>
    <w:rsid w:val="01E23011"/>
    <w:rsid w:val="01E46D89"/>
    <w:rsid w:val="01E951BF"/>
    <w:rsid w:val="01EE260C"/>
    <w:rsid w:val="01EF6693"/>
    <w:rsid w:val="01FD7E4B"/>
    <w:rsid w:val="02013704"/>
    <w:rsid w:val="02041547"/>
    <w:rsid w:val="020E3E06"/>
    <w:rsid w:val="02220917"/>
    <w:rsid w:val="02323964"/>
    <w:rsid w:val="02385327"/>
    <w:rsid w:val="023B2668"/>
    <w:rsid w:val="024638F0"/>
    <w:rsid w:val="024909EF"/>
    <w:rsid w:val="02493090"/>
    <w:rsid w:val="02566FA4"/>
    <w:rsid w:val="02571C51"/>
    <w:rsid w:val="025C7268"/>
    <w:rsid w:val="02685C0C"/>
    <w:rsid w:val="0274685E"/>
    <w:rsid w:val="027E5B05"/>
    <w:rsid w:val="027F4D04"/>
    <w:rsid w:val="02805F63"/>
    <w:rsid w:val="028440C8"/>
    <w:rsid w:val="02C0159B"/>
    <w:rsid w:val="02EF0AC5"/>
    <w:rsid w:val="03010409"/>
    <w:rsid w:val="030D40BE"/>
    <w:rsid w:val="031F6C4A"/>
    <w:rsid w:val="032B73B3"/>
    <w:rsid w:val="03483348"/>
    <w:rsid w:val="036839EA"/>
    <w:rsid w:val="03773C2D"/>
    <w:rsid w:val="0378154F"/>
    <w:rsid w:val="038F26FA"/>
    <w:rsid w:val="03B95FF4"/>
    <w:rsid w:val="03C857F4"/>
    <w:rsid w:val="03D13D53"/>
    <w:rsid w:val="03DA48E8"/>
    <w:rsid w:val="03FB1B75"/>
    <w:rsid w:val="04217F9A"/>
    <w:rsid w:val="04363AE8"/>
    <w:rsid w:val="04405B3E"/>
    <w:rsid w:val="04446205"/>
    <w:rsid w:val="044F4170"/>
    <w:rsid w:val="045126D0"/>
    <w:rsid w:val="04535EC3"/>
    <w:rsid w:val="0456611E"/>
    <w:rsid w:val="045D2E23"/>
    <w:rsid w:val="046214F3"/>
    <w:rsid w:val="0462769F"/>
    <w:rsid w:val="04647D92"/>
    <w:rsid w:val="046942D4"/>
    <w:rsid w:val="047168CE"/>
    <w:rsid w:val="04726FC9"/>
    <w:rsid w:val="04787C5D"/>
    <w:rsid w:val="04794212"/>
    <w:rsid w:val="048D195A"/>
    <w:rsid w:val="04B47551"/>
    <w:rsid w:val="04B62533"/>
    <w:rsid w:val="04B95EFC"/>
    <w:rsid w:val="04D57CC3"/>
    <w:rsid w:val="04DA26C6"/>
    <w:rsid w:val="04E452F2"/>
    <w:rsid w:val="04E57AC0"/>
    <w:rsid w:val="04F43057"/>
    <w:rsid w:val="0502785C"/>
    <w:rsid w:val="050F6813"/>
    <w:rsid w:val="05117AE3"/>
    <w:rsid w:val="052104D9"/>
    <w:rsid w:val="052668F7"/>
    <w:rsid w:val="052E656D"/>
    <w:rsid w:val="053E2C54"/>
    <w:rsid w:val="05404C1F"/>
    <w:rsid w:val="05452235"/>
    <w:rsid w:val="05504736"/>
    <w:rsid w:val="05526700"/>
    <w:rsid w:val="05533B84"/>
    <w:rsid w:val="057072B0"/>
    <w:rsid w:val="05832D5D"/>
    <w:rsid w:val="058543AD"/>
    <w:rsid w:val="058A2920"/>
    <w:rsid w:val="05B41169"/>
    <w:rsid w:val="05C44104"/>
    <w:rsid w:val="05D50F72"/>
    <w:rsid w:val="05DE7F94"/>
    <w:rsid w:val="05E11832"/>
    <w:rsid w:val="05E97064"/>
    <w:rsid w:val="05F67158"/>
    <w:rsid w:val="05FD48BE"/>
    <w:rsid w:val="060D1D83"/>
    <w:rsid w:val="060E0879"/>
    <w:rsid w:val="060E6ACB"/>
    <w:rsid w:val="060F2843"/>
    <w:rsid w:val="061B11E8"/>
    <w:rsid w:val="06233BF8"/>
    <w:rsid w:val="062B63F7"/>
    <w:rsid w:val="06336531"/>
    <w:rsid w:val="06383B48"/>
    <w:rsid w:val="064C75F3"/>
    <w:rsid w:val="065169B7"/>
    <w:rsid w:val="066A1827"/>
    <w:rsid w:val="067A7CBC"/>
    <w:rsid w:val="0687687D"/>
    <w:rsid w:val="06896151"/>
    <w:rsid w:val="068C53D1"/>
    <w:rsid w:val="06D373CC"/>
    <w:rsid w:val="06E24C85"/>
    <w:rsid w:val="06E94E42"/>
    <w:rsid w:val="06EE06AA"/>
    <w:rsid w:val="06F35CC1"/>
    <w:rsid w:val="0708176C"/>
    <w:rsid w:val="07097292"/>
    <w:rsid w:val="070B4DB8"/>
    <w:rsid w:val="07177C01"/>
    <w:rsid w:val="07267E44"/>
    <w:rsid w:val="072D5440"/>
    <w:rsid w:val="072D6710"/>
    <w:rsid w:val="073A38EF"/>
    <w:rsid w:val="07414C7E"/>
    <w:rsid w:val="074B78AB"/>
    <w:rsid w:val="077010BF"/>
    <w:rsid w:val="07750484"/>
    <w:rsid w:val="077741FC"/>
    <w:rsid w:val="07796567"/>
    <w:rsid w:val="077C7488"/>
    <w:rsid w:val="077D5FDB"/>
    <w:rsid w:val="079254DA"/>
    <w:rsid w:val="07A85ADE"/>
    <w:rsid w:val="07B61CB8"/>
    <w:rsid w:val="07CA4C73"/>
    <w:rsid w:val="07E07FF3"/>
    <w:rsid w:val="081237BD"/>
    <w:rsid w:val="081D1247"/>
    <w:rsid w:val="08206079"/>
    <w:rsid w:val="08327F9B"/>
    <w:rsid w:val="083306C7"/>
    <w:rsid w:val="0858402D"/>
    <w:rsid w:val="08585DDB"/>
    <w:rsid w:val="08901A19"/>
    <w:rsid w:val="08A836D6"/>
    <w:rsid w:val="08AC25CB"/>
    <w:rsid w:val="08B414F9"/>
    <w:rsid w:val="08C304E0"/>
    <w:rsid w:val="08D5676B"/>
    <w:rsid w:val="08E25FED"/>
    <w:rsid w:val="08E42279"/>
    <w:rsid w:val="08EE6740"/>
    <w:rsid w:val="08FF26FB"/>
    <w:rsid w:val="09093863"/>
    <w:rsid w:val="090C3A7D"/>
    <w:rsid w:val="092B7E5D"/>
    <w:rsid w:val="093240DC"/>
    <w:rsid w:val="093C394F"/>
    <w:rsid w:val="093D1475"/>
    <w:rsid w:val="0941694F"/>
    <w:rsid w:val="094B38F4"/>
    <w:rsid w:val="09554A11"/>
    <w:rsid w:val="09594501"/>
    <w:rsid w:val="09624AB6"/>
    <w:rsid w:val="09682AD0"/>
    <w:rsid w:val="09722ECD"/>
    <w:rsid w:val="097C48F4"/>
    <w:rsid w:val="0992356F"/>
    <w:rsid w:val="099720DE"/>
    <w:rsid w:val="09972933"/>
    <w:rsid w:val="099B6AD2"/>
    <w:rsid w:val="099B72D8"/>
    <w:rsid w:val="099E3CC2"/>
    <w:rsid w:val="09C86F91"/>
    <w:rsid w:val="09DA1AB1"/>
    <w:rsid w:val="09E649DF"/>
    <w:rsid w:val="09F22F92"/>
    <w:rsid w:val="0A054A20"/>
    <w:rsid w:val="0A073F5D"/>
    <w:rsid w:val="0A080C44"/>
    <w:rsid w:val="0A217411"/>
    <w:rsid w:val="0A3D72FF"/>
    <w:rsid w:val="0A3E7253"/>
    <w:rsid w:val="0A426D43"/>
    <w:rsid w:val="0A5D1DCF"/>
    <w:rsid w:val="0A6071C9"/>
    <w:rsid w:val="0A630559"/>
    <w:rsid w:val="0A6F6D64"/>
    <w:rsid w:val="0A717628"/>
    <w:rsid w:val="0A742C74"/>
    <w:rsid w:val="0A9E5E78"/>
    <w:rsid w:val="0AA1700B"/>
    <w:rsid w:val="0AB17A25"/>
    <w:rsid w:val="0ABB091A"/>
    <w:rsid w:val="0AE1644F"/>
    <w:rsid w:val="0AE53B72"/>
    <w:rsid w:val="0AF02C43"/>
    <w:rsid w:val="0AF10769"/>
    <w:rsid w:val="0AF311D2"/>
    <w:rsid w:val="0AF31FA9"/>
    <w:rsid w:val="0B04224A"/>
    <w:rsid w:val="0B0D2543"/>
    <w:rsid w:val="0B100BEF"/>
    <w:rsid w:val="0B136931"/>
    <w:rsid w:val="0B183F48"/>
    <w:rsid w:val="0B1F0E32"/>
    <w:rsid w:val="0B2D2264"/>
    <w:rsid w:val="0B642DAB"/>
    <w:rsid w:val="0B6C7DF0"/>
    <w:rsid w:val="0B7078E0"/>
    <w:rsid w:val="0B7F5D75"/>
    <w:rsid w:val="0B8E5FB8"/>
    <w:rsid w:val="0B941820"/>
    <w:rsid w:val="0B980BE5"/>
    <w:rsid w:val="0B995C76"/>
    <w:rsid w:val="0BA436F8"/>
    <w:rsid w:val="0BA457DB"/>
    <w:rsid w:val="0BB562C0"/>
    <w:rsid w:val="0BBE194C"/>
    <w:rsid w:val="0BC639A4"/>
    <w:rsid w:val="0BDC4F75"/>
    <w:rsid w:val="0BED7182"/>
    <w:rsid w:val="0BF57DE5"/>
    <w:rsid w:val="0C05627A"/>
    <w:rsid w:val="0C14470F"/>
    <w:rsid w:val="0C1851ED"/>
    <w:rsid w:val="0C2B1A59"/>
    <w:rsid w:val="0C545441"/>
    <w:rsid w:val="0C7E5013"/>
    <w:rsid w:val="0C9B6086"/>
    <w:rsid w:val="0CA408A4"/>
    <w:rsid w:val="0CA736FB"/>
    <w:rsid w:val="0CA826EC"/>
    <w:rsid w:val="0CA83BDB"/>
    <w:rsid w:val="0CAA4AB7"/>
    <w:rsid w:val="0CB14328"/>
    <w:rsid w:val="0CB14CFD"/>
    <w:rsid w:val="0CB16402"/>
    <w:rsid w:val="0CB437FC"/>
    <w:rsid w:val="0CBA16F6"/>
    <w:rsid w:val="0CC003F3"/>
    <w:rsid w:val="0CD41FCF"/>
    <w:rsid w:val="0CD64E8E"/>
    <w:rsid w:val="0CE7215C"/>
    <w:rsid w:val="0CE75980"/>
    <w:rsid w:val="0CEF0CD8"/>
    <w:rsid w:val="0D0A78C0"/>
    <w:rsid w:val="0D0C53E6"/>
    <w:rsid w:val="0D132C19"/>
    <w:rsid w:val="0D135F99"/>
    <w:rsid w:val="0D1B1ACD"/>
    <w:rsid w:val="0D2766C4"/>
    <w:rsid w:val="0D3A6AC1"/>
    <w:rsid w:val="0D3D0F6B"/>
    <w:rsid w:val="0D3D26A2"/>
    <w:rsid w:val="0D416598"/>
    <w:rsid w:val="0D4B6B9D"/>
    <w:rsid w:val="0D545552"/>
    <w:rsid w:val="0D554FDF"/>
    <w:rsid w:val="0D5972D7"/>
    <w:rsid w:val="0D5D665A"/>
    <w:rsid w:val="0D705B92"/>
    <w:rsid w:val="0D7C3B5B"/>
    <w:rsid w:val="0D8853B5"/>
    <w:rsid w:val="0DB317B6"/>
    <w:rsid w:val="0DB31D06"/>
    <w:rsid w:val="0DB622DF"/>
    <w:rsid w:val="0DC863CB"/>
    <w:rsid w:val="0DCB52A1"/>
    <w:rsid w:val="0DCD2DC7"/>
    <w:rsid w:val="0DCF4D92"/>
    <w:rsid w:val="0DD34156"/>
    <w:rsid w:val="0DE2707A"/>
    <w:rsid w:val="0DEE2D3E"/>
    <w:rsid w:val="0E0B7D94"/>
    <w:rsid w:val="0E0C084D"/>
    <w:rsid w:val="0E286250"/>
    <w:rsid w:val="0E3177FA"/>
    <w:rsid w:val="0E456E02"/>
    <w:rsid w:val="0E4D4F89"/>
    <w:rsid w:val="0E527771"/>
    <w:rsid w:val="0E6D487B"/>
    <w:rsid w:val="0E7616B1"/>
    <w:rsid w:val="0E793AA3"/>
    <w:rsid w:val="0E8033D3"/>
    <w:rsid w:val="0E8E7725"/>
    <w:rsid w:val="0E903DF5"/>
    <w:rsid w:val="0E91669A"/>
    <w:rsid w:val="0E9330B7"/>
    <w:rsid w:val="0E9D16E1"/>
    <w:rsid w:val="0EA95631"/>
    <w:rsid w:val="0EBE1902"/>
    <w:rsid w:val="0EBF3D27"/>
    <w:rsid w:val="0ED71998"/>
    <w:rsid w:val="0EE83C31"/>
    <w:rsid w:val="0EEF7C6C"/>
    <w:rsid w:val="0F0A004B"/>
    <w:rsid w:val="0F127F04"/>
    <w:rsid w:val="0F247536"/>
    <w:rsid w:val="0F2A424A"/>
    <w:rsid w:val="0F36107A"/>
    <w:rsid w:val="0F4E7F38"/>
    <w:rsid w:val="0F5226BC"/>
    <w:rsid w:val="0F606EDE"/>
    <w:rsid w:val="0F696B20"/>
    <w:rsid w:val="0F7D2023"/>
    <w:rsid w:val="0F9D2C6D"/>
    <w:rsid w:val="0FA67D74"/>
    <w:rsid w:val="0FB42B59"/>
    <w:rsid w:val="0FBD4E7F"/>
    <w:rsid w:val="0FC244B1"/>
    <w:rsid w:val="0FC63F72"/>
    <w:rsid w:val="0FD04DF1"/>
    <w:rsid w:val="0FD61CDB"/>
    <w:rsid w:val="0FDA17E7"/>
    <w:rsid w:val="101D790A"/>
    <w:rsid w:val="101E0F8B"/>
    <w:rsid w:val="102D2243"/>
    <w:rsid w:val="103C4234"/>
    <w:rsid w:val="10453240"/>
    <w:rsid w:val="10481722"/>
    <w:rsid w:val="104841C5"/>
    <w:rsid w:val="104948C1"/>
    <w:rsid w:val="104B27B9"/>
    <w:rsid w:val="105206FD"/>
    <w:rsid w:val="10621DCA"/>
    <w:rsid w:val="106B68C8"/>
    <w:rsid w:val="1077203D"/>
    <w:rsid w:val="10806817"/>
    <w:rsid w:val="108856CC"/>
    <w:rsid w:val="109555CD"/>
    <w:rsid w:val="10957D29"/>
    <w:rsid w:val="1097590F"/>
    <w:rsid w:val="10996470"/>
    <w:rsid w:val="10AA3894"/>
    <w:rsid w:val="10AB3168"/>
    <w:rsid w:val="10B34DF6"/>
    <w:rsid w:val="10C04C70"/>
    <w:rsid w:val="10E33611"/>
    <w:rsid w:val="10ED552F"/>
    <w:rsid w:val="10EF574B"/>
    <w:rsid w:val="1108503C"/>
    <w:rsid w:val="1118351C"/>
    <w:rsid w:val="11196324"/>
    <w:rsid w:val="11230F50"/>
    <w:rsid w:val="1131366D"/>
    <w:rsid w:val="113413B0"/>
    <w:rsid w:val="11385058"/>
    <w:rsid w:val="113F6565"/>
    <w:rsid w:val="11427629"/>
    <w:rsid w:val="114E5514"/>
    <w:rsid w:val="1154735C"/>
    <w:rsid w:val="11573251"/>
    <w:rsid w:val="11595429"/>
    <w:rsid w:val="115A44F5"/>
    <w:rsid w:val="116003F7"/>
    <w:rsid w:val="11616084"/>
    <w:rsid w:val="11740D55"/>
    <w:rsid w:val="11744912"/>
    <w:rsid w:val="11790958"/>
    <w:rsid w:val="118B30A2"/>
    <w:rsid w:val="119500A0"/>
    <w:rsid w:val="11963E18"/>
    <w:rsid w:val="119C3A87"/>
    <w:rsid w:val="11A7392F"/>
    <w:rsid w:val="11AB78C4"/>
    <w:rsid w:val="11BA568F"/>
    <w:rsid w:val="11BA60AC"/>
    <w:rsid w:val="11C42733"/>
    <w:rsid w:val="11CE2445"/>
    <w:rsid w:val="11DD37F5"/>
    <w:rsid w:val="12033DD9"/>
    <w:rsid w:val="12080872"/>
    <w:rsid w:val="1210041D"/>
    <w:rsid w:val="12201369"/>
    <w:rsid w:val="12251B0C"/>
    <w:rsid w:val="12264437"/>
    <w:rsid w:val="12445622"/>
    <w:rsid w:val="124F64A1"/>
    <w:rsid w:val="1251733F"/>
    <w:rsid w:val="126D179E"/>
    <w:rsid w:val="12A762DD"/>
    <w:rsid w:val="12B502CE"/>
    <w:rsid w:val="12B74046"/>
    <w:rsid w:val="12BF7DDA"/>
    <w:rsid w:val="12D147BA"/>
    <w:rsid w:val="12E455B1"/>
    <w:rsid w:val="12ED1816"/>
    <w:rsid w:val="12F17558"/>
    <w:rsid w:val="12F31522"/>
    <w:rsid w:val="12F62DC0"/>
    <w:rsid w:val="12FC5EFD"/>
    <w:rsid w:val="13021765"/>
    <w:rsid w:val="130D3C66"/>
    <w:rsid w:val="132711CC"/>
    <w:rsid w:val="132A1569"/>
    <w:rsid w:val="132C3456"/>
    <w:rsid w:val="13315FC4"/>
    <w:rsid w:val="133B3EF3"/>
    <w:rsid w:val="134A4EBA"/>
    <w:rsid w:val="136441CE"/>
    <w:rsid w:val="136E2957"/>
    <w:rsid w:val="13750622"/>
    <w:rsid w:val="13A87AD2"/>
    <w:rsid w:val="13BE7CB3"/>
    <w:rsid w:val="13CC1D73"/>
    <w:rsid w:val="13D604FC"/>
    <w:rsid w:val="13F45980"/>
    <w:rsid w:val="13F56BD4"/>
    <w:rsid w:val="140B63F8"/>
    <w:rsid w:val="14102222"/>
    <w:rsid w:val="14131750"/>
    <w:rsid w:val="141E62F6"/>
    <w:rsid w:val="14237BE5"/>
    <w:rsid w:val="143976B0"/>
    <w:rsid w:val="144349CA"/>
    <w:rsid w:val="14450C1E"/>
    <w:rsid w:val="144E6677"/>
    <w:rsid w:val="14531E2D"/>
    <w:rsid w:val="145E0FB3"/>
    <w:rsid w:val="147A5F4D"/>
    <w:rsid w:val="14834899"/>
    <w:rsid w:val="148E44C9"/>
    <w:rsid w:val="14964AD3"/>
    <w:rsid w:val="14997EA7"/>
    <w:rsid w:val="149A3EDE"/>
    <w:rsid w:val="149A4D01"/>
    <w:rsid w:val="14DA401C"/>
    <w:rsid w:val="14DC29CA"/>
    <w:rsid w:val="14EA24B1"/>
    <w:rsid w:val="14EB7563"/>
    <w:rsid w:val="14F055ED"/>
    <w:rsid w:val="150712B5"/>
    <w:rsid w:val="15113EE2"/>
    <w:rsid w:val="15121A08"/>
    <w:rsid w:val="15177373"/>
    <w:rsid w:val="151E65FF"/>
    <w:rsid w:val="153F60CA"/>
    <w:rsid w:val="154D500E"/>
    <w:rsid w:val="155344FA"/>
    <w:rsid w:val="15543DCE"/>
    <w:rsid w:val="155D0ED5"/>
    <w:rsid w:val="155F162C"/>
    <w:rsid w:val="1581387A"/>
    <w:rsid w:val="15962639"/>
    <w:rsid w:val="15A03791"/>
    <w:rsid w:val="15A44D56"/>
    <w:rsid w:val="15A72150"/>
    <w:rsid w:val="15AE7093"/>
    <w:rsid w:val="15B91DB9"/>
    <w:rsid w:val="15BA6327"/>
    <w:rsid w:val="15D1541F"/>
    <w:rsid w:val="15D46CBD"/>
    <w:rsid w:val="15D660A1"/>
    <w:rsid w:val="15D70772"/>
    <w:rsid w:val="15DD3D01"/>
    <w:rsid w:val="15DD5B72"/>
    <w:rsid w:val="1609105D"/>
    <w:rsid w:val="163C6D3C"/>
    <w:rsid w:val="164B4D29"/>
    <w:rsid w:val="164D02A2"/>
    <w:rsid w:val="164D3A98"/>
    <w:rsid w:val="16551848"/>
    <w:rsid w:val="1658169C"/>
    <w:rsid w:val="16702E8A"/>
    <w:rsid w:val="16733DFC"/>
    <w:rsid w:val="16961A14"/>
    <w:rsid w:val="17017F86"/>
    <w:rsid w:val="173261DF"/>
    <w:rsid w:val="17467C1C"/>
    <w:rsid w:val="178070FD"/>
    <w:rsid w:val="17844F02"/>
    <w:rsid w:val="17942BA8"/>
    <w:rsid w:val="17A821AF"/>
    <w:rsid w:val="17AF353E"/>
    <w:rsid w:val="17BC7DD4"/>
    <w:rsid w:val="17C27715"/>
    <w:rsid w:val="17CE7E68"/>
    <w:rsid w:val="17DA1071"/>
    <w:rsid w:val="17E01949"/>
    <w:rsid w:val="17E53404"/>
    <w:rsid w:val="17F67EE0"/>
    <w:rsid w:val="180A2D0F"/>
    <w:rsid w:val="182F131D"/>
    <w:rsid w:val="18464386"/>
    <w:rsid w:val="184B770B"/>
    <w:rsid w:val="184C5EA6"/>
    <w:rsid w:val="184E71FB"/>
    <w:rsid w:val="18672F9C"/>
    <w:rsid w:val="18797036"/>
    <w:rsid w:val="1888270D"/>
    <w:rsid w:val="18982224"/>
    <w:rsid w:val="189E2D38"/>
    <w:rsid w:val="18B3705E"/>
    <w:rsid w:val="18B708FC"/>
    <w:rsid w:val="18BE642A"/>
    <w:rsid w:val="18C179CD"/>
    <w:rsid w:val="18C80D5B"/>
    <w:rsid w:val="18EE17C1"/>
    <w:rsid w:val="18F2402A"/>
    <w:rsid w:val="18F51424"/>
    <w:rsid w:val="19297FBA"/>
    <w:rsid w:val="19305738"/>
    <w:rsid w:val="193D0098"/>
    <w:rsid w:val="19410B0E"/>
    <w:rsid w:val="19495A8C"/>
    <w:rsid w:val="194C7145"/>
    <w:rsid w:val="19550115"/>
    <w:rsid w:val="195E16BF"/>
    <w:rsid w:val="197647E5"/>
    <w:rsid w:val="198B18C3"/>
    <w:rsid w:val="198C11B1"/>
    <w:rsid w:val="198C33B8"/>
    <w:rsid w:val="199E7AD3"/>
    <w:rsid w:val="19A03A6D"/>
    <w:rsid w:val="19B8194C"/>
    <w:rsid w:val="19B968F6"/>
    <w:rsid w:val="19BE3F0C"/>
    <w:rsid w:val="19D05965"/>
    <w:rsid w:val="19DD0836"/>
    <w:rsid w:val="19DE68CE"/>
    <w:rsid w:val="19F41706"/>
    <w:rsid w:val="19F636A6"/>
    <w:rsid w:val="19F67B09"/>
    <w:rsid w:val="19FF69FF"/>
    <w:rsid w:val="1A023DF9"/>
    <w:rsid w:val="1A0C2EC9"/>
    <w:rsid w:val="1A185D1A"/>
    <w:rsid w:val="1A1B4EBB"/>
    <w:rsid w:val="1A3E4B0B"/>
    <w:rsid w:val="1A433456"/>
    <w:rsid w:val="1A4D3FDE"/>
    <w:rsid w:val="1A4E2D5C"/>
    <w:rsid w:val="1A4E703E"/>
    <w:rsid w:val="1A7D3DC7"/>
    <w:rsid w:val="1A9876F9"/>
    <w:rsid w:val="1A9A4D87"/>
    <w:rsid w:val="1A9E2DD3"/>
    <w:rsid w:val="1AA03612"/>
    <w:rsid w:val="1AA475A6"/>
    <w:rsid w:val="1AAD0846"/>
    <w:rsid w:val="1AB31597"/>
    <w:rsid w:val="1AC01459"/>
    <w:rsid w:val="1ACB068F"/>
    <w:rsid w:val="1AD0039B"/>
    <w:rsid w:val="1AD624DD"/>
    <w:rsid w:val="1ADA2FC8"/>
    <w:rsid w:val="1AE479A2"/>
    <w:rsid w:val="1AEB6F83"/>
    <w:rsid w:val="1B1509BD"/>
    <w:rsid w:val="1B290E40"/>
    <w:rsid w:val="1B353BD9"/>
    <w:rsid w:val="1B356450"/>
    <w:rsid w:val="1B3B6887"/>
    <w:rsid w:val="1B416BA3"/>
    <w:rsid w:val="1B610FF3"/>
    <w:rsid w:val="1B662AAD"/>
    <w:rsid w:val="1B723C5F"/>
    <w:rsid w:val="1B762CF0"/>
    <w:rsid w:val="1B8C2265"/>
    <w:rsid w:val="1B950C9D"/>
    <w:rsid w:val="1BA13BE7"/>
    <w:rsid w:val="1BAB763B"/>
    <w:rsid w:val="1BB92BDD"/>
    <w:rsid w:val="1BBD4155"/>
    <w:rsid w:val="1BDE34C7"/>
    <w:rsid w:val="1BE502A3"/>
    <w:rsid w:val="1BEE7741"/>
    <w:rsid w:val="1BF9747E"/>
    <w:rsid w:val="1C1E0C92"/>
    <w:rsid w:val="1C3404B6"/>
    <w:rsid w:val="1C357DB2"/>
    <w:rsid w:val="1C4348D0"/>
    <w:rsid w:val="1C580648"/>
    <w:rsid w:val="1C5A3497"/>
    <w:rsid w:val="1C680667"/>
    <w:rsid w:val="1C8651B5"/>
    <w:rsid w:val="1C96783A"/>
    <w:rsid w:val="1CA23671"/>
    <w:rsid w:val="1CA70C88"/>
    <w:rsid w:val="1CCB706C"/>
    <w:rsid w:val="1CCE090A"/>
    <w:rsid w:val="1CD114D4"/>
    <w:rsid w:val="1CDD30D1"/>
    <w:rsid w:val="1D0165EA"/>
    <w:rsid w:val="1D274763"/>
    <w:rsid w:val="1D2D16B0"/>
    <w:rsid w:val="1D365AEF"/>
    <w:rsid w:val="1D422475"/>
    <w:rsid w:val="1D462E86"/>
    <w:rsid w:val="1D4968EF"/>
    <w:rsid w:val="1D4E55A7"/>
    <w:rsid w:val="1D56725D"/>
    <w:rsid w:val="1D816D60"/>
    <w:rsid w:val="1D85595D"/>
    <w:rsid w:val="1D9531D6"/>
    <w:rsid w:val="1DA022A7"/>
    <w:rsid w:val="1DA628CF"/>
    <w:rsid w:val="1DA9477B"/>
    <w:rsid w:val="1DAA3FC0"/>
    <w:rsid w:val="1DBB0E8E"/>
    <w:rsid w:val="1DC37D43"/>
    <w:rsid w:val="1DCB4E4A"/>
    <w:rsid w:val="1DE026A3"/>
    <w:rsid w:val="1DE96178"/>
    <w:rsid w:val="1DF223D6"/>
    <w:rsid w:val="1DF443A0"/>
    <w:rsid w:val="1DFF066D"/>
    <w:rsid w:val="1E124827"/>
    <w:rsid w:val="1E2C7696"/>
    <w:rsid w:val="1E2E3295"/>
    <w:rsid w:val="1E306F41"/>
    <w:rsid w:val="1E3648F4"/>
    <w:rsid w:val="1E37603B"/>
    <w:rsid w:val="1E450502"/>
    <w:rsid w:val="1E4D585F"/>
    <w:rsid w:val="1E636E30"/>
    <w:rsid w:val="1E7B23CC"/>
    <w:rsid w:val="1E7D720E"/>
    <w:rsid w:val="1E7F0D6B"/>
    <w:rsid w:val="1E85149C"/>
    <w:rsid w:val="1E890F8D"/>
    <w:rsid w:val="1E8A0861"/>
    <w:rsid w:val="1E997880"/>
    <w:rsid w:val="1E9A3706"/>
    <w:rsid w:val="1EA90CE7"/>
    <w:rsid w:val="1EAE454F"/>
    <w:rsid w:val="1EE937D9"/>
    <w:rsid w:val="1EF91EAD"/>
    <w:rsid w:val="1EFA492C"/>
    <w:rsid w:val="1EFF124F"/>
    <w:rsid w:val="1F100D66"/>
    <w:rsid w:val="1F1D7927"/>
    <w:rsid w:val="1F332CA6"/>
    <w:rsid w:val="1F43262E"/>
    <w:rsid w:val="1F43738D"/>
    <w:rsid w:val="1F5039EC"/>
    <w:rsid w:val="1F677925"/>
    <w:rsid w:val="1F6B41EE"/>
    <w:rsid w:val="1F7E2174"/>
    <w:rsid w:val="1F8F638C"/>
    <w:rsid w:val="1F953961"/>
    <w:rsid w:val="1F95570F"/>
    <w:rsid w:val="1F95795C"/>
    <w:rsid w:val="1FAB4F33"/>
    <w:rsid w:val="1FB165AB"/>
    <w:rsid w:val="1FDF18B1"/>
    <w:rsid w:val="1FFB37C4"/>
    <w:rsid w:val="1FFC3341"/>
    <w:rsid w:val="1FFD5F29"/>
    <w:rsid w:val="20015880"/>
    <w:rsid w:val="20086617"/>
    <w:rsid w:val="2010139D"/>
    <w:rsid w:val="20196340"/>
    <w:rsid w:val="202636C8"/>
    <w:rsid w:val="20485E60"/>
    <w:rsid w:val="204B56C8"/>
    <w:rsid w:val="204F0D07"/>
    <w:rsid w:val="2078528A"/>
    <w:rsid w:val="208F6602"/>
    <w:rsid w:val="20971013"/>
    <w:rsid w:val="20994D8B"/>
    <w:rsid w:val="20B61DE1"/>
    <w:rsid w:val="20BD4F1E"/>
    <w:rsid w:val="20C50696"/>
    <w:rsid w:val="21034348"/>
    <w:rsid w:val="21091F11"/>
    <w:rsid w:val="2118245A"/>
    <w:rsid w:val="211A28C7"/>
    <w:rsid w:val="211E7A91"/>
    <w:rsid w:val="212C3E51"/>
    <w:rsid w:val="21333432"/>
    <w:rsid w:val="214271D1"/>
    <w:rsid w:val="216D5D97"/>
    <w:rsid w:val="21815F4B"/>
    <w:rsid w:val="21983404"/>
    <w:rsid w:val="219A0DBB"/>
    <w:rsid w:val="21B31E7D"/>
    <w:rsid w:val="21BA1CA5"/>
    <w:rsid w:val="21BB0788"/>
    <w:rsid w:val="21BB1C63"/>
    <w:rsid w:val="21F27C92"/>
    <w:rsid w:val="21F4671D"/>
    <w:rsid w:val="22001C9F"/>
    <w:rsid w:val="221C2118"/>
    <w:rsid w:val="222568A4"/>
    <w:rsid w:val="22456F79"/>
    <w:rsid w:val="22486A69"/>
    <w:rsid w:val="224F429B"/>
    <w:rsid w:val="224F6049"/>
    <w:rsid w:val="22585A1E"/>
    <w:rsid w:val="22715CB4"/>
    <w:rsid w:val="22790E9C"/>
    <w:rsid w:val="227D36AD"/>
    <w:rsid w:val="22865EB4"/>
    <w:rsid w:val="22992C61"/>
    <w:rsid w:val="22AC1F65"/>
    <w:rsid w:val="22C03D22"/>
    <w:rsid w:val="22C407E5"/>
    <w:rsid w:val="22C95DFC"/>
    <w:rsid w:val="22EE11B0"/>
    <w:rsid w:val="22F66EAB"/>
    <w:rsid w:val="22FB3ADB"/>
    <w:rsid w:val="230B6414"/>
    <w:rsid w:val="231132FF"/>
    <w:rsid w:val="23162040"/>
    <w:rsid w:val="23244DE0"/>
    <w:rsid w:val="23411E36"/>
    <w:rsid w:val="23434A62"/>
    <w:rsid w:val="234476DA"/>
    <w:rsid w:val="23477C1F"/>
    <w:rsid w:val="234867D0"/>
    <w:rsid w:val="234E00AF"/>
    <w:rsid w:val="235D2694"/>
    <w:rsid w:val="23671171"/>
    <w:rsid w:val="238B30B1"/>
    <w:rsid w:val="23A40616"/>
    <w:rsid w:val="23A979DB"/>
    <w:rsid w:val="23AE6D9F"/>
    <w:rsid w:val="23B343B6"/>
    <w:rsid w:val="23B60D4B"/>
    <w:rsid w:val="23C304DA"/>
    <w:rsid w:val="23CE2F9E"/>
    <w:rsid w:val="23D031BA"/>
    <w:rsid w:val="23D9610A"/>
    <w:rsid w:val="23DE5B4B"/>
    <w:rsid w:val="23FA1FE5"/>
    <w:rsid w:val="240F5A90"/>
    <w:rsid w:val="242157C3"/>
    <w:rsid w:val="24225DEA"/>
    <w:rsid w:val="242B6642"/>
    <w:rsid w:val="24354219"/>
    <w:rsid w:val="243B0D45"/>
    <w:rsid w:val="243E6375"/>
    <w:rsid w:val="244A6AC8"/>
    <w:rsid w:val="244C451B"/>
    <w:rsid w:val="24507394"/>
    <w:rsid w:val="245526E1"/>
    <w:rsid w:val="24563A90"/>
    <w:rsid w:val="24564B28"/>
    <w:rsid w:val="24570B42"/>
    <w:rsid w:val="24605A61"/>
    <w:rsid w:val="247C6E9E"/>
    <w:rsid w:val="24815BA6"/>
    <w:rsid w:val="24885842"/>
    <w:rsid w:val="24B30B11"/>
    <w:rsid w:val="24C90335"/>
    <w:rsid w:val="24CE594B"/>
    <w:rsid w:val="24E16D01"/>
    <w:rsid w:val="24EE1B49"/>
    <w:rsid w:val="24EE6130"/>
    <w:rsid w:val="24F46A34"/>
    <w:rsid w:val="2503311B"/>
    <w:rsid w:val="2506185B"/>
    <w:rsid w:val="250C0222"/>
    <w:rsid w:val="25103007"/>
    <w:rsid w:val="251946ED"/>
    <w:rsid w:val="2528191B"/>
    <w:rsid w:val="2543719E"/>
    <w:rsid w:val="25450F89"/>
    <w:rsid w:val="255B6AB3"/>
    <w:rsid w:val="256C0CC0"/>
    <w:rsid w:val="25795E47"/>
    <w:rsid w:val="25805811"/>
    <w:rsid w:val="25B60BA2"/>
    <w:rsid w:val="25BF1AE3"/>
    <w:rsid w:val="25D56865"/>
    <w:rsid w:val="25DC5F2B"/>
    <w:rsid w:val="25E60A73"/>
    <w:rsid w:val="25F03C8D"/>
    <w:rsid w:val="260B2287"/>
    <w:rsid w:val="261031EB"/>
    <w:rsid w:val="26105AEF"/>
    <w:rsid w:val="26123616"/>
    <w:rsid w:val="2615226F"/>
    <w:rsid w:val="261E2712"/>
    <w:rsid w:val="262E5F76"/>
    <w:rsid w:val="263C0693"/>
    <w:rsid w:val="263F224F"/>
    <w:rsid w:val="26465D5C"/>
    <w:rsid w:val="26487037"/>
    <w:rsid w:val="264B4D7A"/>
    <w:rsid w:val="264E6E0F"/>
    <w:rsid w:val="265359DC"/>
    <w:rsid w:val="265579A6"/>
    <w:rsid w:val="265E4AAD"/>
    <w:rsid w:val="26661BB3"/>
    <w:rsid w:val="266B0F78"/>
    <w:rsid w:val="26751DF6"/>
    <w:rsid w:val="26754647"/>
    <w:rsid w:val="267918E7"/>
    <w:rsid w:val="267C3185"/>
    <w:rsid w:val="268169ED"/>
    <w:rsid w:val="2685028B"/>
    <w:rsid w:val="268C02CD"/>
    <w:rsid w:val="269B0D83"/>
    <w:rsid w:val="26AA1AA0"/>
    <w:rsid w:val="26AC0ACC"/>
    <w:rsid w:val="26D703BB"/>
    <w:rsid w:val="26E33204"/>
    <w:rsid w:val="26E36771"/>
    <w:rsid w:val="26E56F7C"/>
    <w:rsid w:val="26F1147D"/>
    <w:rsid w:val="27021059"/>
    <w:rsid w:val="270B1937"/>
    <w:rsid w:val="271213F3"/>
    <w:rsid w:val="27201D62"/>
    <w:rsid w:val="27223013"/>
    <w:rsid w:val="27233601"/>
    <w:rsid w:val="272B6C3D"/>
    <w:rsid w:val="274C1EA2"/>
    <w:rsid w:val="275814FC"/>
    <w:rsid w:val="27587A3F"/>
    <w:rsid w:val="27736336"/>
    <w:rsid w:val="27754DE2"/>
    <w:rsid w:val="278B39AF"/>
    <w:rsid w:val="278C564A"/>
    <w:rsid w:val="27A04C51"/>
    <w:rsid w:val="27CC3C98"/>
    <w:rsid w:val="27D33279"/>
    <w:rsid w:val="27E014F2"/>
    <w:rsid w:val="27E1460E"/>
    <w:rsid w:val="27E15995"/>
    <w:rsid w:val="27F03F6B"/>
    <w:rsid w:val="28012668"/>
    <w:rsid w:val="280B23C6"/>
    <w:rsid w:val="28153891"/>
    <w:rsid w:val="2819487D"/>
    <w:rsid w:val="2829733C"/>
    <w:rsid w:val="282C70E7"/>
    <w:rsid w:val="28357A8F"/>
    <w:rsid w:val="28373416"/>
    <w:rsid w:val="2838132E"/>
    <w:rsid w:val="283F090E"/>
    <w:rsid w:val="283F446A"/>
    <w:rsid w:val="285223EF"/>
    <w:rsid w:val="28577949"/>
    <w:rsid w:val="285919D0"/>
    <w:rsid w:val="286E4D4F"/>
    <w:rsid w:val="289B3A6A"/>
    <w:rsid w:val="289D4EA3"/>
    <w:rsid w:val="289E73E3"/>
    <w:rsid w:val="28AD19D8"/>
    <w:rsid w:val="28C11323"/>
    <w:rsid w:val="28C50E13"/>
    <w:rsid w:val="28D472A8"/>
    <w:rsid w:val="28E079FB"/>
    <w:rsid w:val="28E15521"/>
    <w:rsid w:val="28EB63A0"/>
    <w:rsid w:val="28F33BD2"/>
    <w:rsid w:val="28F811E9"/>
    <w:rsid w:val="29015150"/>
    <w:rsid w:val="2903193C"/>
    <w:rsid w:val="290A4A78"/>
    <w:rsid w:val="2927562A"/>
    <w:rsid w:val="29324E38"/>
    <w:rsid w:val="294058B8"/>
    <w:rsid w:val="29407B01"/>
    <w:rsid w:val="294E0E09"/>
    <w:rsid w:val="29502C07"/>
    <w:rsid w:val="29745D31"/>
    <w:rsid w:val="2976210D"/>
    <w:rsid w:val="297E1946"/>
    <w:rsid w:val="298A3E0B"/>
    <w:rsid w:val="298B51C1"/>
    <w:rsid w:val="298E56A9"/>
    <w:rsid w:val="299A22A0"/>
    <w:rsid w:val="29AE18A7"/>
    <w:rsid w:val="29B5243A"/>
    <w:rsid w:val="29BA649E"/>
    <w:rsid w:val="29C15A7E"/>
    <w:rsid w:val="29C410CB"/>
    <w:rsid w:val="29D3130E"/>
    <w:rsid w:val="29D46E34"/>
    <w:rsid w:val="29D90840"/>
    <w:rsid w:val="29EB1C5C"/>
    <w:rsid w:val="29EC0622"/>
    <w:rsid w:val="29F14EA4"/>
    <w:rsid w:val="2A1C0F07"/>
    <w:rsid w:val="2A1D4C7F"/>
    <w:rsid w:val="2A261D85"/>
    <w:rsid w:val="2A3A313B"/>
    <w:rsid w:val="2A434B93"/>
    <w:rsid w:val="2A4B17EC"/>
    <w:rsid w:val="2A554419"/>
    <w:rsid w:val="2A570191"/>
    <w:rsid w:val="2A5E32CD"/>
    <w:rsid w:val="2A633245"/>
    <w:rsid w:val="2A6F1525"/>
    <w:rsid w:val="2A701253"/>
    <w:rsid w:val="2A8940C2"/>
    <w:rsid w:val="2A952A67"/>
    <w:rsid w:val="2AA027A4"/>
    <w:rsid w:val="2AA64C74"/>
    <w:rsid w:val="2AB15DA5"/>
    <w:rsid w:val="2AB90504"/>
    <w:rsid w:val="2AC62C21"/>
    <w:rsid w:val="2ACB46DB"/>
    <w:rsid w:val="2ADF3CE2"/>
    <w:rsid w:val="2AE05406"/>
    <w:rsid w:val="2AFB4A20"/>
    <w:rsid w:val="2B0100FD"/>
    <w:rsid w:val="2B030E80"/>
    <w:rsid w:val="2B063D47"/>
    <w:rsid w:val="2B0A6F32"/>
    <w:rsid w:val="2B0F48DB"/>
    <w:rsid w:val="2B12230A"/>
    <w:rsid w:val="2B141BDE"/>
    <w:rsid w:val="2B1A4D1A"/>
    <w:rsid w:val="2B2A31B0"/>
    <w:rsid w:val="2B3109E2"/>
    <w:rsid w:val="2B3836F1"/>
    <w:rsid w:val="2B3B360F"/>
    <w:rsid w:val="2B4104F9"/>
    <w:rsid w:val="2B4A3852"/>
    <w:rsid w:val="2B5B15BB"/>
    <w:rsid w:val="2B6C794F"/>
    <w:rsid w:val="2BAC0068"/>
    <w:rsid w:val="2BB10BF5"/>
    <w:rsid w:val="2BB33178"/>
    <w:rsid w:val="2BBB474F"/>
    <w:rsid w:val="2BCF206A"/>
    <w:rsid w:val="2BCF7B4A"/>
    <w:rsid w:val="2BD001FB"/>
    <w:rsid w:val="2BE5357A"/>
    <w:rsid w:val="2BE90744"/>
    <w:rsid w:val="2BE94E19"/>
    <w:rsid w:val="2BEC3060"/>
    <w:rsid w:val="2C2045B2"/>
    <w:rsid w:val="2C242627"/>
    <w:rsid w:val="2C2D5A7C"/>
    <w:rsid w:val="2C2E7AD7"/>
    <w:rsid w:val="2C3A001B"/>
    <w:rsid w:val="2C416221"/>
    <w:rsid w:val="2C4839BC"/>
    <w:rsid w:val="2C6A5C3F"/>
    <w:rsid w:val="2C6E17C2"/>
    <w:rsid w:val="2C7A3CC3"/>
    <w:rsid w:val="2C8132A3"/>
    <w:rsid w:val="2C8A6B4B"/>
    <w:rsid w:val="2C994A91"/>
    <w:rsid w:val="2C9A4365"/>
    <w:rsid w:val="2CA36890"/>
    <w:rsid w:val="2CB9737D"/>
    <w:rsid w:val="2CCB6C14"/>
    <w:rsid w:val="2CD755B9"/>
    <w:rsid w:val="2CE13D42"/>
    <w:rsid w:val="2D177764"/>
    <w:rsid w:val="2D1E6D44"/>
    <w:rsid w:val="2D2337CE"/>
    <w:rsid w:val="2D281971"/>
    <w:rsid w:val="2D287BC3"/>
    <w:rsid w:val="2D323292"/>
    <w:rsid w:val="2D346567"/>
    <w:rsid w:val="2D3E1194"/>
    <w:rsid w:val="2D423E35"/>
    <w:rsid w:val="2D426ED6"/>
    <w:rsid w:val="2D4744ED"/>
    <w:rsid w:val="2D4D7629"/>
    <w:rsid w:val="2D592674"/>
    <w:rsid w:val="2D67693D"/>
    <w:rsid w:val="2D6A40ED"/>
    <w:rsid w:val="2D773B83"/>
    <w:rsid w:val="2D8172D3"/>
    <w:rsid w:val="2D827C9F"/>
    <w:rsid w:val="2D870D8D"/>
    <w:rsid w:val="2D8F19F0"/>
    <w:rsid w:val="2D907D95"/>
    <w:rsid w:val="2D917516"/>
    <w:rsid w:val="2D960FD0"/>
    <w:rsid w:val="2DB85492"/>
    <w:rsid w:val="2DC95F1F"/>
    <w:rsid w:val="2DCF44E2"/>
    <w:rsid w:val="2DD218DC"/>
    <w:rsid w:val="2DF83A39"/>
    <w:rsid w:val="2DFB52D7"/>
    <w:rsid w:val="2E034A27"/>
    <w:rsid w:val="2E0C2639"/>
    <w:rsid w:val="2E141EF5"/>
    <w:rsid w:val="2E1D72E8"/>
    <w:rsid w:val="2E20089A"/>
    <w:rsid w:val="2E23267C"/>
    <w:rsid w:val="2E2A1718"/>
    <w:rsid w:val="2E344345"/>
    <w:rsid w:val="2E4B3B69"/>
    <w:rsid w:val="2E4E3659"/>
    <w:rsid w:val="2E5073D1"/>
    <w:rsid w:val="2E570D29"/>
    <w:rsid w:val="2E601EEF"/>
    <w:rsid w:val="2E66136F"/>
    <w:rsid w:val="2E8F1C72"/>
    <w:rsid w:val="2E9279E9"/>
    <w:rsid w:val="2EAD09E3"/>
    <w:rsid w:val="2EAE6273"/>
    <w:rsid w:val="2EBA6D20"/>
    <w:rsid w:val="2EF616C0"/>
    <w:rsid w:val="2F076F9A"/>
    <w:rsid w:val="2F1E2299"/>
    <w:rsid w:val="2F1F09F6"/>
    <w:rsid w:val="2F2B5F23"/>
    <w:rsid w:val="2F2C03AF"/>
    <w:rsid w:val="2F412CBE"/>
    <w:rsid w:val="2F416D1A"/>
    <w:rsid w:val="2F4F58DB"/>
    <w:rsid w:val="2F5702EB"/>
    <w:rsid w:val="2F642A08"/>
    <w:rsid w:val="2F6B0FBC"/>
    <w:rsid w:val="2F884949"/>
    <w:rsid w:val="2FAA7E40"/>
    <w:rsid w:val="2FAD2601"/>
    <w:rsid w:val="2FAE1221"/>
    <w:rsid w:val="2FB47152"/>
    <w:rsid w:val="2FB7522E"/>
    <w:rsid w:val="2FC260AC"/>
    <w:rsid w:val="2FCD4A51"/>
    <w:rsid w:val="2FD1009E"/>
    <w:rsid w:val="2FD2004C"/>
    <w:rsid w:val="2FD44032"/>
    <w:rsid w:val="2FE62223"/>
    <w:rsid w:val="2FE766E4"/>
    <w:rsid w:val="2FFA3A98"/>
    <w:rsid w:val="30010B0A"/>
    <w:rsid w:val="300466C5"/>
    <w:rsid w:val="300A35B0"/>
    <w:rsid w:val="300D4E4E"/>
    <w:rsid w:val="301A5EE8"/>
    <w:rsid w:val="30224D9D"/>
    <w:rsid w:val="30442F65"/>
    <w:rsid w:val="30533F6E"/>
    <w:rsid w:val="30794CA9"/>
    <w:rsid w:val="308C0468"/>
    <w:rsid w:val="3095556F"/>
    <w:rsid w:val="309D06CD"/>
    <w:rsid w:val="30AF76EE"/>
    <w:rsid w:val="30B17ECF"/>
    <w:rsid w:val="30BC1CE8"/>
    <w:rsid w:val="30DC4F4C"/>
    <w:rsid w:val="30E738F1"/>
    <w:rsid w:val="31102E48"/>
    <w:rsid w:val="311E3FC6"/>
    <w:rsid w:val="31273D62"/>
    <w:rsid w:val="313352F0"/>
    <w:rsid w:val="313463B3"/>
    <w:rsid w:val="3138414C"/>
    <w:rsid w:val="314711AB"/>
    <w:rsid w:val="31523FD0"/>
    <w:rsid w:val="315279E9"/>
    <w:rsid w:val="31592A40"/>
    <w:rsid w:val="316118F5"/>
    <w:rsid w:val="316513E5"/>
    <w:rsid w:val="31810686"/>
    <w:rsid w:val="3195334D"/>
    <w:rsid w:val="31973569"/>
    <w:rsid w:val="319F2CF0"/>
    <w:rsid w:val="31A55C86"/>
    <w:rsid w:val="31A9358F"/>
    <w:rsid w:val="31B82659"/>
    <w:rsid w:val="31BE2E99"/>
    <w:rsid w:val="31C45C8C"/>
    <w:rsid w:val="31DA62C5"/>
    <w:rsid w:val="31F43832"/>
    <w:rsid w:val="31F45592"/>
    <w:rsid w:val="31FE0EF2"/>
    <w:rsid w:val="32003B98"/>
    <w:rsid w:val="321502BA"/>
    <w:rsid w:val="32171A5E"/>
    <w:rsid w:val="322F192E"/>
    <w:rsid w:val="323963CE"/>
    <w:rsid w:val="323F3F6C"/>
    <w:rsid w:val="32543208"/>
    <w:rsid w:val="325E4445"/>
    <w:rsid w:val="32624BA7"/>
    <w:rsid w:val="327D3A4C"/>
    <w:rsid w:val="3291620A"/>
    <w:rsid w:val="32951856"/>
    <w:rsid w:val="32963820"/>
    <w:rsid w:val="329812D1"/>
    <w:rsid w:val="32AD706D"/>
    <w:rsid w:val="32CC0FF0"/>
    <w:rsid w:val="32E50D2E"/>
    <w:rsid w:val="32E6648B"/>
    <w:rsid w:val="32EB1476"/>
    <w:rsid w:val="33016EEC"/>
    <w:rsid w:val="33130ECB"/>
    <w:rsid w:val="33370B5F"/>
    <w:rsid w:val="333746BC"/>
    <w:rsid w:val="33380434"/>
    <w:rsid w:val="334214A6"/>
    <w:rsid w:val="334B0167"/>
    <w:rsid w:val="33797EAA"/>
    <w:rsid w:val="337C6572"/>
    <w:rsid w:val="33811DDB"/>
    <w:rsid w:val="339935C8"/>
    <w:rsid w:val="33B201E6"/>
    <w:rsid w:val="33B43371"/>
    <w:rsid w:val="33B51A84"/>
    <w:rsid w:val="33BA52ED"/>
    <w:rsid w:val="33CD6DCE"/>
    <w:rsid w:val="33CE5A82"/>
    <w:rsid w:val="33D3039D"/>
    <w:rsid w:val="33E67E90"/>
    <w:rsid w:val="33EF6FC0"/>
    <w:rsid w:val="33F56325"/>
    <w:rsid w:val="33FD3B57"/>
    <w:rsid w:val="340547BA"/>
    <w:rsid w:val="340879DB"/>
    <w:rsid w:val="340C0C09"/>
    <w:rsid w:val="34123FD3"/>
    <w:rsid w:val="344C15B7"/>
    <w:rsid w:val="34504D36"/>
    <w:rsid w:val="34733E19"/>
    <w:rsid w:val="347831DE"/>
    <w:rsid w:val="34945B3E"/>
    <w:rsid w:val="349C4973"/>
    <w:rsid w:val="349E076A"/>
    <w:rsid w:val="34AA710F"/>
    <w:rsid w:val="34B41245"/>
    <w:rsid w:val="34BD4BA2"/>
    <w:rsid w:val="34D6522C"/>
    <w:rsid w:val="34D83C7C"/>
    <w:rsid w:val="34E83090"/>
    <w:rsid w:val="34FA3BF3"/>
    <w:rsid w:val="35041EEB"/>
    <w:rsid w:val="350B05A6"/>
    <w:rsid w:val="351538DA"/>
    <w:rsid w:val="351A7555"/>
    <w:rsid w:val="351B1279"/>
    <w:rsid w:val="351F18AB"/>
    <w:rsid w:val="353B041A"/>
    <w:rsid w:val="3546309A"/>
    <w:rsid w:val="355700B5"/>
    <w:rsid w:val="35571045"/>
    <w:rsid w:val="355B5EE2"/>
    <w:rsid w:val="3569521C"/>
    <w:rsid w:val="356B0A4F"/>
    <w:rsid w:val="356D43C4"/>
    <w:rsid w:val="356E45E1"/>
    <w:rsid w:val="35700359"/>
    <w:rsid w:val="35780FBB"/>
    <w:rsid w:val="357C4F4F"/>
    <w:rsid w:val="357C6CFE"/>
    <w:rsid w:val="35833EBA"/>
    <w:rsid w:val="358B0CEF"/>
    <w:rsid w:val="35902C59"/>
    <w:rsid w:val="3592207D"/>
    <w:rsid w:val="359D0A22"/>
    <w:rsid w:val="35DD4352"/>
    <w:rsid w:val="360F1920"/>
    <w:rsid w:val="36105698"/>
    <w:rsid w:val="36146F36"/>
    <w:rsid w:val="3615138E"/>
    <w:rsid w:val="361909F0"/>
    <w:rsid w:val="361F07D9"/>
    <w:rsid w:val="36270212"/>
    <w:rsid w:val="363E0457"/>
    <w:rsid w:val="36581519"/>
    <w:rsid w:val="36583AE9"/>
    <w:rsid w:val="36603F29"/>
    <w:rsid w:val="3676199F"/>
    <w:rsid w:val="3680281D"/>
    <w:rsid w:val="36821021"/>
    <w:rsid w:val="36851BE2"/>
    <w:rsid w:val="36873BAC"/>
    <w:rsid w:val="368C155D"/>
    <w:rsid w:val="369167D9"/>
    <w:rsid w:val="3699743B"/>
    <w:rsid w:val="36A80FAA"/>
    <w:rsid w:val="36EC7EB3"/>
    <w:rsid w:val="36F86858"/>
    <w:rsid w:val="370011C3"/>
    <w:rsid w:val="37113475"/>
    <w:rsid w:val="371C0798"/>
    <w:rsid w:val="371D62BE"/>
    <w:rsid w:val="37227431"/>
    <w:rsid w:val="372F1B4E"/>
    <w:rsid w:val="3745704E"/>
    <w:rsid w:val="374857F5"/>
    <w:rsid w:val="374A61CE"/>
    <w:rsid w:val="37515F68"/>
    <w:rsid w:val="375717D0"/>
    <w:rsid w:val="375D490D"/>
    <w:rsid w:val="37621F23"/>
    <w:rsid w:val="3766186A"/>
    <w:rsid w:val="376F5CE2"/>
    <w:rsid w:val="37721F51"/>
    <w:rsid w:val="37893954"/>
    <w:rsid w:val="37960A92"/>
    <w:rsid w:val="37C404E8"/>
    <w:rsid w:val="37D55020"/>
    <w:rsid w:val="37EA43F2"/>
    <w:rsid w:val="37ED25CE"/>
    <w:rsid w:val="38150ACD"/>
    <w:rsid w:val="381A45AC"/>
    <w:rsid w:val="3825542A"/>
    <w:rsid w:val="382947EF"/>
    <w:rsid w:val="382E459A"/>
    <w:rsid w:val="383733B0"/>
    <w:rsid w:val="38433B03"/>
    <w:rsid w:val="386162FE"/>
    <w:rsid w:val="3862667F"/>
    <w:rsid w:val="38934A8A"/>
    <w:rsid w:val="38966328"/>
    <w:rsid w:val="38AA3D45"/>
    <w:rsid w:val="38AC6CC7"/>
    <w:rsid w:val="38BF587F"/>
    <w:rsid w:val="38CA7D80"/>
    <w:rsid w:val="38DD314E"/>
    <w:rsid w:val="38DE4447"/>
    <w:rsid w:val="38DF19B7"/>
    <w:rsid w:val="38EB045F"/>
    <w:rsid w:val="38F35529"/>
    <w:rsid w:val="38F4304F"/>
    <w:rsid w:val="38FB43DD"/>
    <w:rsid w:val="39072D82"/>
    <w:rsid w:val="39146CA7"/>
    <w:rsid w:val="394418E0"/>
    <w:rsid w:val="39470667"/>
    <w:rsid w:val="395C1E75"/>
    <w:rsid w:val="396F26D5"/>
    <w:rsid w:val="39735A5F"/>
    <w:rsid w:val="3975024B"/>
    <w:rsid w:val="39782A17"/>
    <w:rsid w:val="39875C71"/>
    <w:rsid w:val="398E611F"/>
    <w:rsid w:val="39B747A8"/>
    <w:rsid w:val="39CA329F"/>
    <w:rsid w:val="39D0586A"/>
    <w:rsid w:val="39E84962"/>
    <w:rsid w:val="39E906DA"/>
    <w:rsid w:val="39FA6443"/>
    <w:rsid w:val="39FD5A6E"/>
    <w:rsid w:val="3A1F40FB"/>
    <w:rsid w:val="3A3E27D3"/>
    <w:rsid w:val="3A461688"/>
    <w:rsid w:val="3A4A561C"/>
    <w:rsid w:val="3A575643"/>
    <w:rsid w:val="3A59585F"/>
    <w:rsid w:val="3A6750AA"/>
    <w:rsid w:val="3A6A698E"/>
    <w:rsid w:val="3A6A7A6C"/>
    <w:rsid w:val="3A6B10EF"/>
    <w:rsid w:val="3A791A5E"/>
    <w:rsid w:val="3A7D3071"/>
    <w:rsid w:val="3A7D4423"/>
    <w:rsid w:val="3A8D5509"/>
    <w:rsid w:val="3A907128"/>
    <w:rsid w:val="3A976388"/>
    <w:rsid w:val="3A9E14C4"/>
    <w:rsid w:val="3AC16F61"/>
    <w:rsid w:val="3ADA3DD1"/>
    <w:rsid w:val="3AE47BAA"/>
    <w:rsid w:val="3B06606E"/>
    <w:rsid w:val="3B0717C2"/>
    <w:rsid w:val="3B082DE1"/>
    <w:rsid w:val="3B084B8F"/>
    <w:rsid w:val="3B0B5575"/>
    <w:rsid w:val="3B1A5B1B"/>
    <w:rsid w:val="3B1B0D67"/>
    <w:rsid w:val="3B23229D"/>
    <w:rsid w:val="3B244DB2"/>
    <w:rsid w:val="3B245E6D"/>
    <w:rsid w:val="3B271339"/>
    <w:rsid w:val="3B567FF1"/>
    <w:rsid w:val="3B5B576D"/>
    <w:rsid w:val="3B5D312D"/>
    <w:rsid w:val="3B5F0C53"/>
    <w:rsid w:val="3B651FE2"/>
    <w:rsid w:val="3B795AFD"/>
    <w:rsid w:val="3B7B35B3"/>
    <w:rsid w:val="3B8537CB"/>
    <w:rsid w:val="3B8701AA"/>
    <w:rsid w:val="3B9526C5"/>
    <w:rsid w:val="3BA24FE4"/>
    <w:rsid w:val="3BA96372"/>
    <w:rsid w:val="3BAB5507"/>
    <w:rsid w:val="3BB30B9B"/>
    <w:rsid w:val="3BBF7944"/>
    <w:rsid w:val="3BE850ED"/>
    <w:rsid w:val="3BF910A8"/>
    <w:rsid w:val="3BFF5F92"/>
    <w:rsid w:val="3C083808"/>
    <w:rsid w:val="3C0F6D52"/>
    <w:rsid w:val="3C155675"/>
    <w:rsid w:val="3C17152E"/>
    <w:rsid w:val="3C326368"/>
    <w:rsid w:val="3C3A6FCB"/>
    <w:rsid w:val="3C417504"/>
    <w:rsid w:val="3C521511"/>
    <w:rsid w:val="3C575DCE"/>
    <w:rsid w:val="3C5F6A31"/>
    <w:rsid w:val="3C6A3D54"/>
    <w:rsid w:val="3C6C0EA5"/>
    <w:rsid w:val="3C78447F"/>
    <w:rsid w:val="3C8446EA"/>
    <w:rsid w:val="3CB23005"/>
    <w:rsid w:val="3CC5504B"/>
    <w:rsid w:val="3CC82828"/>
    <w:rsid w:val="3CCA770A"/>
    <w:rsid w:val="3CCB0BE1"/>
    <w:rsid w:val="3CCD361D"/>
    <w:rsid w:val="3CF47AC1"/>
    <w:rsid w:val="3CFE449C"/>
    <w:rsid w:val="3D0F0457"/>
    <w:rsid w:val="3D22462E"/>
    <w:rsid w:val="3D332398"/>
    <w:rsid w:val="3D3A4F28"/>
    <w:rsid w:val="3D402D06"/>
    <w:rsid w:val="3D583BAC"/>
    <w:rsid w:val="3D7B3D3F"/>
    <w:rsid w:val="3D88331A"/>
    <w:rsid w:val="3D916F46"/>
    <w:rsid w:val="3D925068"/>
    <w:rsid w:val="3D931088"/>
    <w:rsid w:val="3DA07301"/>
    <w:rsid w:val="3DBD4357"/>
    <w:rsid w:val="3DC732F8"/>
    <w:rsid w:val="3DF633C5"/>
    <w:rsid w:val="3E100CFE"/>
    <w:rsid w:val="3E18158D"/>
    <w:rsid w:val="3E1F0B6E"/>
    <w:rsid w:val="3E204169"/>
    <w:rsid w:val="3E2919ED"/>
    <w:rsid w:val="3E32349B"/>
    <w:rsid w:val="3E344619"/>
    <w:rsid w:val="3E35213F"/>
    <w:rsid w:val="3E480073"/>
    <w:rsid w:val="3E4E71A3"/>
    <w:rsid w:val="3E574293"/>
    <w:rsid w:val="3E602D77"/>
    <w:rsid w:val="3E7964D0"/>
    <w:rsid w:val="3E7E6950"/>
    <w:rsid w:val="3E8B7FB1"/>
    <w:rsid w:val="3EB47A6E"/>
    <w:rsid w:val="3EBF1A09"/>
    <w:rsid w:val="3EC82FB3"/>
    <w:rsid w:val="3EC86B76"/>
    <w:rsid w:val="3ECB4852"/>
    <w:rsid w:val="3ECF4342"/>
    <w:rsid w:val="3ED87380"/>
    <w:rsid w:val="3EDE6AD9"/>
    <w:rsid w:val="3EE002FD"/>
    <w:rsid w:val="3F06588A"/>
    <w:rsid w:val="3F1D32FF"/>
    <w:rsid w:val="3F201718"/>
    <w:rsid w:val="3F2118CF"/>
    <w:rsid w:val="3F2B709E"/>
    <w:rsid w:val="3F4D34B9"/>
    <w:rsid w:val="3F530C83"/>
    <w:rsid w:val="3F5C459C"/>
    <w:rsid w:val="3F6F2F34"/>
    <w:rsid w:val="3F725B4F"/>
    <w:rsid w:val="3F7E18C4"/>
    <w:rsid w:val="3F9335C1"/>
    <w:rsid w:val="3F943B20"/>
    <w:rsid w:val="3F982986"/>
    <w:rsid w:val="3FA550A3"/>
    <w:rsid w:val="3FA6035E"/>
    <w:rsid w:val="3FA96941"/>
    <w:rsid w:val="3FB928FC"/>
    <w:rsid w:val="3FC25C55"/>
    <w:rsid w:val="3FEC2CAA"/>
    <w:rsid w:val="3FF54D36"/>
    <w:rsid w:val="4000009A"/>
    <w:rsid w:val="400022D9"/>
    <w:rsid w:val="401A6DD7"/>
    <w:rsid w:val="401C5365"/>
    <w:rsid w:val="403A3A3D"/>
    <w:rsid w:val="403A4012"/>
    <w:rsid w:val="40416B7A"/>
    <w:rsid w:val="40503261"/>
    <w:rsid w:val="405857D7"/>
    <w:rsid w:val="40644F5E"/>
    <w:rsid w:val="407342C7"/>
    <w:rsid w:val="407C5E04"/>
    <w:rsid w:val="40835AAC"/>
    <w:rsid w:val="40927A18"/>
    <w:rsid w:val="40947B03"/>
    <w:rsid w:val="40954700"/>
    <w:rsid w:val="40955117"/>
    <w:rsid w:val="40962A74"/>
    <w:rsid w:val="409E378E"/>
    <w:rsid w:val="40B03171"/>
    <w:rsid w:val="40BE01CA"/>
    <w:rsid w:val="40C975A7"/>
    <w:rsid w:val="40CB0B39"/>
    <w:rsid w:val="40D53766"/>
    <w:rsid w:val="40FB11B2"/>
    <w:rsid w:val="41171FD0"/>
    <w:rsid w:val="412A1D04"/>
    <w:rsid w:val="4134048C"/>
    <w:rsid w:val="41457791"/>
    <w:rsid w:val="41523008"/>
    <w:rsid w:val="415A62EB"/>
    <w:rsid w:val="416D1BF0"/>
    <w:rsid w:val="41761003"/>
    <w:rsid w:val="41780CC1"/>
    <w:rsid w:val="417D157F"/>
    <w:rsid w:val="418036D2"/>
    <w:rsid w:val="41850CE8"/>
    <w:rsid w:val="419453CF"/>
    <w:rsid w:val="41AC6C7E"/>
    <w:rsid w:val="41B56B45"/>
    <w:rsid w:val="41B617BE"/>
    <w:rsid w:val="41BB1DE0"/>
    <w:rsid w:val="41BC1F64"/>
    <w:rsid w:val="41C454A4"/>
    <w:rsid w:val="41CF334D"/>
    <w:rsid w:val="41D63C39"/>
    <w:rsid w:val="41D64D57"/>
    <w:rsid w:val="41DB47B3"/>
    <w:rsid w:val="41F13451"/>
    <w:rsid w:val="41F95EB4"/>
    <w:rsid w:val="421460B9"/>
    <w:rsid w:val="42190786"/>
    <w:rsid w:val="421A268A"/>
    <w:rsid w:val="421B135F"/>
    <w:rsid w:val="42237B4C"/>
    <w:rsid w:val="423C1CEE"/>
    <w:rsid w:val="423E6C37"/>
    <w:rsid w:val="42470693"/>
    <w:rsid w:val="424E557E"/>
    <w:rsid w:val="42554B5E"/>
    <w:rsid w:val="42584B94"/>
    <w:rsid w:val="425F778B"/>
    <w:rsid w:val="42642970"/>
    <w:rsid w:val="42660B19"/>
    <w:rsid w:val="42894808"/>
    <w:rsid w:val="429F402B"/>
    <w:rsid w:val="42C13DBC"/>
    <w:rsid w:val="42C64E09"/>
    <w:rsid w:val="42C90444"/>
    <w:rsid w:val="42CB4E20"/>
    <w:rsid w:val="42E020C7"/>
    <w:rsid w:val="42E30453"/>
    <w:rsid w:val="42E75311"/>
    <w:rsid w:val="42F205FF"/>
    <w:rsid w:val="42F34431"/>
    <w:rsid w:val="42F9198D"/>
    <w:rsid w:val="42FD6CC1"/>
    <w:rsid w:val="43004549"/>
    <w:rsid w:val="43012E33"/>
    <w:rsid w:val="430945C0"/>
    <w:rsid w:val="430D368B"/>
    <w:rsid w:val="43122A4F"/>
    <w:rsid w:val="433230F1"/>
    <w:rsid w:val="43416227"/>
    <w:rsid w:val="434F6678"/>
    <w:rsid w:val="43543207"/>
    <w:rsid w:val="43571209"/>
    <w:rsid w:val="43634A87"/>
    <w:rsid w:val="43664B49"/>
    <w:rsid w:val="43677A21"/>
    <w:rsid w:val="436B215F"/>
    <w:rsid w:val="438A4CDB"/>
    <w:rsid w:val="43AF1CA8"/>
    <w:rsid w:val="43BE4985"/>
    <w:rsid w:val="43DB72E5"/>
    <w:rsid w:val="43E97C54"/>
    <w:rsid w:val="43F87E97"/>
    <w:rsid w:val="440700DA"/>
    <w:rsid w:val="440F6F8F"/>
    <w:rsid w:val="44103433"/>
    <w:rsid w:val="4413513E"/>
    <w:rsid w:val="4413530F"/>
    <w:rsid w:val="44224F14"/>
    <w:rsid w:val="44290050"/>
    <w:rsid w:val="442A5B77"/>
    <w:rsid w:val="442F13DF"/>
    <w:rsid w:val="44305883"/>
    <w:rsid w:val="44492ADD"/>
    <w:rsid w:val="44641089"/>
    <w:rsid w:val="447A4D50"/>
    <w:rsid w:val="44864005"/>
    <w:rsid w:val="44A92F3F"/>
    <w:rsid w:val="44AE49FA"/>
    <w:rsid w:val="44B518E4"/>
    <w:rsid w:val="44C2637A"/>
    <w:rsid w:val="44CB1108"/>
    <w:rsid w:val="44E34EEF"/>
    <w:rsid w:val="44E53CFC"/>
    <w:rsid w:val="44ED504B"/>
    <w:rsid w:val="45026C45"/>
    <w:rsid w:val="451C7BB5"/>
    <w:rsid w:val="45246A6A"/>
    <w:rsid w:val="452D1DC2"/>
    <w:rsid w:val="452F3233"/>
    <w:rsid w:val="45336CAD"/>
    <w:rsid w:val="45350C77"/>
    <w:rsid w:val="45383C57"/>
    <w:rsid w:val="454669E0"/>
    <w:rsid w:val="45474D29"/>
    <w:rsid w:val="456F4189"/>
    <w:rsid w:val="457277D5"/>
    <w:rsid w:val="4573042C"/>
    <w:rsid w:val="457D2ECE"/>
    <w:rsid w:val="459040FF"/>
    <w:rsid w:val="45AA43F2"/>
    <w:rsid w:val="45B222C8"/>
    <w:rsid w:val="45B95404"/>
    <w:rsid w:val="45BF3D21"/>
    <w:rsid w:val="45C03A90"/>
    <w:rsid w:val="45C9102B"/>
    <w:rsid w:val="45E05A82"/>
    <w:rsid w:val="45EE1552"/>
    <w:rsid w:val="460460EC"/>
    <w:rsid w:val="46116FEE"/>
    <w:rsid w:val="461D1E37"/>
    <w:rsid w:val="46226824"/>
    <w:rsid w:val="462718D0"/>
    <w:rsid w:val="46333408"/>
    <w:rsid w:val="46380A1F"/>
    <w:rsid w:val="464867CF"/>
    <w:rsid w:val="4669507C"/>
    <w:rsid w:val="466C1CE7"/>
    <w:rsid w:val="466E770D"/>
    <w:rsid w:val="46911EDD"/>
    <w:rsid w:val="46A71700"/>
    <w:rsid w:val="46A9191C"/>
    <w:rsid w:val="46AE0CE1"/>
    <w:rsid w:val="46B502C1"/>
    <w:rsid w:val="46CD6A55"/>
    <w:rsid w:val="46CF58C9"/>
    <w:rsid w:val="46D00C57"/>
    <w:rsid w:val="46E72D7B"/>
    <w:rsid w:val="46E86595"/>
    <w:rsid w:val="46E90B16"/>
    <w:rsid w:val="46EC7F5A"/>
    <w:rsid w:val="46ED7A5B"/>
    <w:rsid w:val="46EE37D3"/>
    <w:rsid w:val="46F26E20"/>
    <w:rsid w:val="46F30DEA"/>
    <w:rsid w:val="46F31D3C"/>
    <w:rsid w:val="46FD57C4"/>
    <w:rsid w:val="47013507"/>
    <w:rsid w:val="470461DB"/>
    <w:rsid w:val="470A7433"/>
    <w:rsid w:val="470D2FE4"/>
    <w:rsid w:val="470E59CC"/>
    <w:rsid w:val="4711689A"/>
    <w:rsid w:val="471825FE"/>
    <w:rsid w:val="472664D4"/>
    <w:rsid w:val="4729480B"/>
    <w:rsid w:val="472D12AD"/>
    <w:rsid w:val="47305B9A"/>
    <w:rsid w:val="473430CB"/>
    <w:rsid w:val="473531B0"/>
    <w:rsid w:val="473C3E35"/>
    <w:rsid w:val="474A77F3"/>
    <w:rsid w:val="47767A51"/>
    <w:rsid w:val="477C6691"/>
    <w:rsid w:val="478C7274"/>
    <w:rsid w:val="479010F6"/>
    <w:rsid w:val="47946129"/>
    <w:rsid w:val="479F471D"/>
    <w:rsid w:val="47A21446"/>
    <w:rsid w:val="47A45C40"/>
    <w:rsid w:val="47A61754"/>
    <w:rsid w:val="47B73BC5"/>
    <w:rsid w:val="47BA5463"/>
    <w:rsid w:val="47BB36B5"/>
    <w:rsid w:val="47CD33E9"/>
    <w:rsid w:val="47D359B2"/>
    <w:rsid w:val="47D6229D"/>
    <w:rsid w:val="47D93B3C"/>
    <w:rsid w:val="47DB3D58"/>
    <w:rsid w:val="47DC362C"/>
    <w:rsid w:val="47F210A1"/>
    <w:rsid w:val="47FB61A8"/>
    <w:rsid w:val="48300151"/>
    <w:rsid w:val="48474F49"/>
    <w:rsid w:val="484F2050"/>
    <w:rsid w:val="48677399"/>
    <w:rsid w:val="486A2F92"/>
    <w:rsid w:val="486C0703"/>
    <w:rsid w:val="486F5007"/>
    <w:rsid w:val="487F7084"/>
    <w:rsid w:val="48831582"/>
    <w:rsid w:val="488E0DCA"/>
    <w:rsid w:val="48A759E8"/>
    <w:rsid w:val="48B55B9D"/>
    <w:rsid w:val="48C26CC5"/>
    <w:rsid w:val="48C64E34"/>
    <w:rsid w:val="48D41126"/>
    <w:rsid w:val="48D44342"/>
    <w:rsid w:val="48E96000"/>
    <w:rsid w:val="48F21359"/>
    <w:rsid w:val="48FC3F85"/>
    <w:rsid w:val="490270C2"/>
    <w:rsid w:val="49050B18"/>
    <w:rsid w:val="490B7E8C"/>
    <w:rsid w:val="49311755"/>
    <w:rsid w:val="49381C93"/>
    <w:rsid w:val="493C02FB"/>
    <w:rsid w:val="4941647B"/>
    <w:rsid w:val="49437E06"/>
    <w:rsid w:val="49492F43"/>
    <w:rsid w:val="4953791E"/>
    <w:rsid w:val="495504D3"/>
    <w:rsid w:val="496549D0"/>
    <w:rsid w:val="4977185E"/>
    <w:rsid w:val="498521CD"/>
    <w:rsid w:val="498E3F7B"/>
    <w:rsid w:val="49C10D2B"/>
    <w:rsid w:val="49C820BA"/>
    <w:rsid w:val="49DC3DB7"/>
    <w:rsid w:val="49EB58DB"/>
    <w:rsid w:val="49EC57B7"/>
    <w:rsid w:val="49F17862"/>
    <w:rsid w:val="4A064990"/>
    <w:rsid w:val="4A08695A"/>
    <w:rsid w:val="4A1669A3"/>
    <w:rsid w:val="4A1B043B"/>
    <w:rsid w:val="4A28175A"/>
    <w:rsid w:val="4A3067EC"/>
    <w:rsid w:val="4A4200BE"/>
    <w:rsid w:val="4A4D25BF"/>
    <w:rsid w:val="4A6718D3"/>
    <w:rsid w:val="4A687A06"/>
    <w:rsid w:val="4A834233"/>
    <w:rsid w:val="4A9274F7"/>
    <w:rsid w:val="4A995804"/>
    <w:rsid w:val="4A9B5A20"/>
    <w:rsid w:val="4A9D3546"/>
    <w:rsid w:val="4AA03036"/>
    <w:rsid w:val="4AB16FF2"/>
    <w:rsid w:val="4ABA409E"/>
    <w:rsid w:val="4AC76815"/>
    <w:rsid w:val="4AD30D16"/>
    <w:rsid w:val="4ADC34C9"/>
    <w:rsid w:val="4AF41E93"/>
    <w:rsid w:val="4AFF0FC5"/>
    <w:rsid w:val="4AFF295D"/>
    <w:rsid w:val="4B215F25"/>
    <w:rsid w:val="4B217CD3"/>
    <w:rsid w:val="4B29302C"/>
    <w:rsid w:val="4B386DCB"/>
    <w:rsid w:val="4B4F0671"/>
    <w:rsid w:val="4B83098E"/>
    <w:rsid w:val="4B885FA4"/>
    <w:rsid w:val="4B981B6D"/>
    <w:rsid w:val="4B9C0C9C"/>
    <w:rsid w:val="4BB70638"/>
    <w:rsid w:val="4BBD036D"/>
    <w:rsid w:val="4BBE1341"/>
    <w:rsid w:val="4BC20656"/>
    <w:rsid w:val="4BED4059"/>
    <w:rsid w:val="4BEE392E"/>
    <w:rsid w:val="4BF76C86"/>
    <w:rsid w:val="4C0231B3"/>
    <w:rsid w:val="4C0714A9"/>
    <w:rsid w:val="4C1A20FB"/>
    <w:rsid w:val="4C1B2975"/>
    <w:rsid w:val="4C1C384C"/>
    <w:rsid w:val="4C1D15AA"/>
    <w:rsid w:val="4C206575"/>
    <w:rsid w:val="4C263D26"/>
    <w:rsid w:val="4C2C2DD4"/>
    <w:rsid w:val="4C4C6FD2"/>
    <w:rsid w:val="4C516396"/>
    <w:rsid w:val="4C8147A2"/>
    <w:rsid w:val="4C855403"/>
    <w:rsid w:val="4C983FC5"/>
    <w:rsid w:val="4CB20707"/>
    <w:rsid w:val="4CB22BAD"/>
    <w:rsid w:val="4CBC55A1"/>
    <w:rsid w:val="4CCE79E7"/>
    <w:rsid w:val="4CD34FFD"/>
    <w:rsid w:val="4CE22011"/>
    <w:rsid w:val="4CE60DA0"/>
    <w:rsid w:val="4CF136D5"/>
    <w:rsid w:val="4CFF5AAC"/>
    <w:rsid w:val="4D072EF9"/>
    <w:rsid w:val="4D07739D"/>
    <w:rsid w:val="4D0B03B4"/>
    <w:rsid w:val="4D194A99"/>
    <w:rsid w:val="4D4A306F"/>
    <w:rsid w:val="4D4C3002"/>
    <w:rsid w:val="4D52686A"/>
    <w:rsid w:val="4D550108"/>
    <w:rsid w:val="4D577521"/>
    <w:rsid w:val="4D7C5064"/>
    <w:rsid w:val="4D812CAB"/>
    <w:rsid w:val="4D81485E"/>
    <w:rsid w:val="4D9B50BA"/>
    <w:rsid w:val="4DB27309"/>
    <w:rsid w:val="4DC4528E"/>
    <w:rsid w:val="4DF37C8B"/>
    <w:rsid w:val="4E0F143D"/>
    <w:rsid w:val="4E277CC0"/>
    <w:rsid w:val="4E2D4BE1"/>
    <w:rsid w:val="4E2E44B5"/>
    <w:rsid w:val="4E393586"/>
    <w:rsid w:val="4E3A10AC"/>
    <w:rsid w:val="4E3C4E24"/>
    <w:rsid w:val="4E402B66"/>
    <w:rsid w:val="4E427DCB"/>
    <w:rsid w:val="4E4A7B9B"/>
    <w:rsid w:val="4E4B49C2"/>
    <w:rsid w:val="4E4F6E21"/>
    <w:rsid w:val="4E527AAF"/>
    <w:rsid w:val="4E760336"/>
    <w:rsid w:val="4E936D6F"/>
    <w:rsid w:val="4E9E163B"/>
    <w:rsid w:val="4EB818F5"/>
    <w:rsid w:val="4EC76DE4"/>
    <w:rsid w:val="4ECC43FA"/>
    <w:rsid w:val="4ED77978"/>
    <w:rsid w:val="4EDB48D8"/>
    <w:rsid w:val="4EE605F2"/>
    <w:rsid w:val="4EEC23A6"/>
    <w:rsid w:val="4F212B8A"/>
    <w:rsid w:val="4F2239DD"/>
    <w:rsid w:val="4F4075BE"/>
    <w:rsid w:val="4F423D45"/>
    <w:rsid w:val="4F4C236E"/>
    <w:rsid w:val="4F4C72E9"/>
    <w:rsid w:val="4F506DD9"/>
    <w:rsid w:val="4F5155E8"/>
    <w:rsid w:val="4F560168"/>
    <w:rsid w:val="4F6208BA"/>
    <w:rsid w:val="4F673748"/>
    <w:rsid w:val="4F744C7F"/>
    <w:rsid w:val="4F8151E4"/>
    <w:rsid w:val="4F8B701D"/>
    <w:rsid w:val="4F9547EC"/>
    <w:rsid w:val="4F9F1B0F"/>
    <w:rsid w:val="4F9F30D3"/>
    <w:rsid w:val="4FA964E9"/>
    <w:rsid w:val="4FAA4F25"/>
    <w:rsid w:val="4FB05ACA"/>
    <w:rsid w:val="4FC80E72"/>
    <w:rsid w:val="4FC86056"/>
    <w:rsid w:val="4FD318FF"/>
    <w:rsid w:val="4FD80181"/>
    <w:rsid w:val="4FDD43E5"/>
    <w:rsid w:val="4FE57280"/>
    <w:rsid w:val="4FF37764"/>
    <w:rsid w:val="4FF8022D"/>
    <w:rsid w:val="50011E81"/>
    <w:rsid w:val="50100316"/>
    <w:rsid w:val="50120532"/>
    <w:rsid w:val="50163700"/>
    <w:rsid w:val="501B07C3"/>
    <w:rsid w:val="50224235"/>
    <w:rsid w:val="502739E3"/>
    <w:rsid w:val="502B5150"/>
    <w:rsid w:val="50334005"/>
    <w:rsid w:val="50355FCF"/>
    <w:rsid w:val="503E4E84"/>
    <w:rsid w:val="50401883"/>
    <w:rsid w:val="50414023"/>
    <w:rsid w:val="504D50C7"/>
    <w:rsid w:val="50506965"/>
    <w:rsid w:val="50681F00"/>
    <w:rsid w:val="50760AC1"/>
    <w:rsid w:val="507A4AA6"/>
    <w:rsid w:val="50834F8C"/>
    <w:rsid w:val="508825A3"/>
    <w:rsid w:val="508B3E41"/>
    <w:rsid w:val="5094251C"/>
    <w:rsid w:val="50A5475A"/>
    <w:rsid w:val="50A8054F"/>
    <w:rsid w:val="50CF1F80"/>
    <w:rsid w:val="50D21A70"/>
    <w:rsid w:val="50D43A3A"/>
    <w:rsid w:val="50E10ED9"/>
    <w:rsid w:val="50E517A3"/>
    <w:rsid w:val="50EE09EB"/>
    <w:rsid w:val="50F73284"/>
    <w:rsid w:val="51142088"/>
    <w:rsid w:val="512B49F6"/>
    <w:rsid w:val="513D15DF"/>
    <w:rsid w:val="514566E6"/>
    <w:rsid w:val="514B72BE"/>
    <w:rsid w:val="51584538"/>
    <w:rsid w:val="515D57DD"/>
    <w:rsid w:val="515D670F"/>
    <w:rsid w:val="515E50B1"/>
    <w:rsid w:val="51791EEB"/>
    <w:rsid w:val="519A2234"/>
    <w:rsid w:val="51A72EFC"/>
    <w:rsid w:val="51B03B5F"/>
    <w:rsid w:val="51B80C66"/>
    <w:rsid w:val="51D11D27"/>
    <w:rsid w:val="51D27F79"/>
    <w:rsid w:val="51FB75D8"/>
    <w:rsid w:val="521314C1"/>
    <w:rsid w:val="52367E76"/>
    <w:rsid w:val="52553D6A"/>
    <w:rsid w:val="526D04C3"/>
    <w:rsid w:val="527032EE"/>
    <w:rsid w:val="527D343C"/>
    <w:rsid w:val="5290464F"/>
    <w:rsid w:val="52A42F98"/>
    <w:rsid w:val="52D03D8D"/>
    <w:rsid w:val="52E361B6"/>
    <w:rsid w:val="52E53CDC"/>
    <w:rsid w:val="52F8748E"/>
    <w:rsid w:val="53057EDB"/>
    <w:rsid w:val="5313583D"/>
    <w:rsid w:val="531A6B64"/>
    <w:rsid w:val="531F3272"/>
    <w:rsid w:val="5322006B"/>
    <w:rsid w:val="53277E51"/>
    <w:rsid w:val="53346A12"/>
    <w:rsid w:val="533C0CA0"/>
    <w:rsid w:val="533E37CE"/>
    <w:rsid w:val="534D4075"/>
    <w:rsid w:val="53603363"/>
    <w:rsid w:val="53607807"/>
    <w:rsid w:val="536966BB"/>
    <w:rsid w:val="537D47B0"/>
    <w:rsid w:val="53874F99"/>
    <w:rsid w:val="53876B42"/>
    <w:rsid w:val="539354E6"/>
    <w:rsid w:val="53976290"/>
    <w:rsid w:val="539B25ED"/>
    <w:rsid w:val="53A226C3"/>
    <w:rsid w:val="53A30B5C"/>
    <w:rsid w:val="53A771E4"/>
    <w:rsid w:val="53B86CFB"/>
    <w:rsid w:val="53C953AC"/>
    <w:rsid w:val="53D22A81"/>
    <w:rsid w:val="53DF6B61"/>
    <w:rsid w:val="53E144A4"/>
    <w:rsid w:val="54010B50"/>
    <w:rsid w:val="540C51F2"/>
    <w:rsid w:val="541F231C"/>
    <w:rsid w:val="54613836"/>
    <w:rsid w:val="54617393"/>
    <w:rsid w:val="54636E1E"/>
    <w:rsid w:val="54694499"/>
    <w:rsid w:val="5472334E"/>
    <w:rsid w:val="548117E3"/>
    <w:rsid w:val="549A0AF6"/>
    <w:rsid w:val="549C75E7"/>
    <w:rsid w:val="549C7626"/>
    <w:rsid w:val="54A0435F"/>
    <w:rsid w:val="54AF45A2"/>
    <w:rsid w:val="54C23E5E"/>
    <w:rsid w:val="54C25C1B"/>
    <w:rsid w:val="54C833BA"/>
    <w:rsid w:val="54CF51E4"/>
    <w:rsid w:val="54D14F9D"/>
    <w:rsid w:val="54D44008"/>
    <w:rsid w:val="54D97871"/>
    <w:rsid w:val="54EC2917"/>
    <w:rsid w:val="54F71AA5"/>
    <w:rsid w:val="54FD3D27"/>
    <w:rsid w:val="550076D5"/>
    <w:rsid w:val="5512068D"/>
    <w:rsid w:val="551E15B9"/>
    <w:rsid w:val="55200FFC"/>
    <w:rsid w:val="55286102"/>
    <w:rsid w:val="55332A56"/>
    <w:rsid w:val="55336D57"/>
    <w:rsid w:val="55485DAA"/>
    <w:rsid w:val="55733663"/>
    <w:rsid w:val="55880EDA"/>
    <w:rsid w:val="558E62EF"/>
    <w:rsid w:val="55974F32"/>
    <w:rsid w:val="55B670AB"/>
    <w:rsid w:val="55D46382"/>
    <w:rsid w:val="55D65B5E"/>
    <w:rsid w:val="55E77D6B"/>
    <w:rsid w:val="55E8696E"/>
    <w:rsid w:val="55F56720"/>
    <w:rsid w:val="56035936"/>
    <w:rsid w:val="560501F2"/>
    <w:rsid w:val="56125C28"/>
    <w:rsid w:val="561A52B8"/>
    <w:rsid w:val="56384123"/>
    <w:rsid w:val="563B3C13"/>
    <w:rsid w:val="564B20A8"/>
    <w:rsid w:val="567B4941"/>
    <w:rsid w:val="5684380C"/>
    <w:rsid w:val="56892BD1"/>
    <w:rsid w:val="568A1422"/>
    <w:rsid w:val="568A53EA"/>
    <w:rsid w:val="56A01835"/>
    <w:rsid w:val="56A1616C"/>
    <w:rsid w:val="56B45E9F"/>
    <w:rsid w:val="56BB6036"/>
    <w:rsid w:val="56D0417B"/>
    <w:rsid w:val="56D1402D"/>
    <w:rsid w:val="56D267F4"/>
    <w:rsid w:val="56D4209E"/>
    <w:rsid w:val="56F0190A"/>
    <w:rsid w:val="56F42740"/>
    <w:rsid w:val="56F95FA8"/>
    <w:rsid w:val="56FC33A3"/>
    <w:rsid w:val="56FC3E60"/>
    <w:rsid w:val="57007679"/>
    <w:rsid w:val="57032983"/>
    <w:rsid w:val="571E156B"/>
    <w:rsid w:val="573214BA"/>
    <w:rsid w:val="5732471A"/>
    <w:rsid w:val="574803C1"/>
    <w:rsid w:val="574E2F99"/>
    <w:rsid w:val="57543B7F"/>
    <w:rsid w:val="57805D55"/>
    <w:rsid w:val="5784013C"/>
    <w:rsid w:val="578E4942"/>
    <w:rsid w:val="57967EA8"/>
    <w:rsid w:val="57B65265"/>
    <w:rsid w:val="57BD13E7"/>
    <w:rsid w:val="57BE68AA"/>
    <w:rsid w:val="57C47737"/>
    <w:rsid w:val="57CA524F"/>
    <w:rsid w:val="57CC7219"/>
    <w:rsid w:val="57D04F5B"/>
    <w:rsid w:val="57DC627B"/>
    <w:rsid w:val="57F347A6"/>
    <w:rsid w:val="57FF46A2"/>
    <w:rsid w:val="580746F5"/>
    <w:rsid w:val="58093FC9"/>
    <w:rsid w:val="58161E3F"/>
    <w:rsid w:val="582341E3"/>
    <w:rsid w:val="58276B45"/>
    <w:rsid w:val="58550FBC"/>
    <w:rsid w:val="586456A3"/>
    <w:rsid w:val="586507DD"/>
    <w:rsid w:val="5869176A"/>
    <w:rsid w:val="58823543"/>
    <w:rsid w:val="589B3BD7"/>
    <w:rsid w:val="58AB5080"/>
    <w:rsid w:val="58AE1ABF"/>
    <w:rsid w:val="58AF34F9"/>
    <w:rsid w:val="58B77D99"/>
    <w:rsid w:val="58BD4DB3"/>
    <w:rsid w:val="58C223C7"/>
    <w:rsid w:val="58C91339"/>
    <w:rsid w:val="58CA75B4"/>
    <w:rsid w:val="58D37DC3"/>
    <w:rsid w:val="58D8399B"/>
    <w:rsid w:val="58E3481A"/>
    <w:rsid w:val="58F307D5"/>
    <w:rsid w:val="59012EF2"/>
    <w:rsid w:val="5915074C"/>
    <w:rsid w:val="5927712F"/>
    <w:rsid w:val="59411541"/>
    <w:rsid w:val="59486D73"/>
    <w:rsid w:val="595B5339"/>
    <w:rsid w:val="59634438"/>
    <w:rsid w:val="597E2795"/>
    <w:rsid w:val="598952C5"/>
    <w:rsid w:val="59914276"/>
    <w:rsid w:val="59965D30"/>
    <w:rsid w:val="59970B04"/>
    <w:rsid w:val="59CD7278"/>
    <w:rsid w:val="59D728FE"/>
    <w:rsid w:val="59F72DCE"/>
    <w:rsid w:val="59FB5B93"/>
    <w:rsid w:val="5A2A0227"/>
    <w:rsid w:val="5A305D68"/>
    <w:rsid w:val="5A3151E2"/>
    <w:rsid w:val="5A4054D8"/>
    <w:rsid w:val="5A492F65"/>
    <w:rsid w:val="5A5F6122"/>
    <w:rsid w:val="5A6C6A91"/>
    <w:rsid w:val="5A7B0A82"/>
    <w:rsid w:val="5A7E2C61"/>
    <w:rsid w:val="5A7F0880"/>
    <w:rsid w:val="5A844211"/>
    <w:rsid w:val="5A8913F1"/>
    <w:rsid w:val="5A9164F8"/>
    <w:rsid w:val="5A92474A"/>
    <w:rsid w:val="5AA224B3"/>
    <w:rsid w:val="5ABE5227"/>
    <w:rsid w:val="5AC10B8B"/>
    <w:rsid w:val="5AD53984"/>
    <w:rsid w:val="5AFA5E4B"/>
    <w:rsid w:val="5B12588A"/>
    <w:rsid w:val="5B172EA1"/>
    <w:rsid w:val="5B266C40"/>
    <w:rsid w:val="5B2D6220"/>
    <w:rsid w:val="5B2E2693"/>
    <w:rsid w:val="5B372BFB"/>
    <w:rsid w:val="5B4B48F9"/>
    <w:rsid w:val="5B4F43E9"/>
    <w:rsid w:val="5B6332AA"/>
    <w:rsid w:val="5B7025B1"/>
    <w:rsid w:val="5B720923"/>
    <w:rsid w:val="5B751975"/>
    <w:rsid w:val="5B772B76"/>
    <w:rsid w:val="5B8D4F11"/>
    <w:rsid w:val="5B9067AF"/>
    <w:rsid w:val="5B920ACD"/>
    <w:rsid w:val="5B955B74"/>
    <w:rsid w:val="5B9938B6"/>
    <w:rsid w:val="5B9A70D9"/>
    <w:rsid w:val="5B9E2C7A"/>
    <w:rsid w:val="5BA26C0E"/>
    <w:rsid w:val="5BC20422"/>
    <w:rsid w:val="5BC31137"/>
    <w:rsid w:val="5BD82630"/>
    <w:rsid w:val="5BED59B0"/>
    <w:rsid w:val="5BF353EE"/>
    <w:rsid w:val="5C145C1E"/>
    <w:rsid w:val="5C161975"/>
    <w:rsid w:val="5C361105"/>
    <w:rsid w:val="5C3E620B"/>
    <w:rsid w:val="5C4A09A4"/>
    <w:rsid w:val="5C5B0B6B"/>
    <w:rsid w:val="5C6914DA"/>
    <w:rsid w:val="5C6C4B26"/>
    <w:rsid w:val="5C707AE2"/>
    <w:rsid w:val="5C717B05"/>
    <w:rsid w:val="5C763BF7"/>
    <w:rsid w:val="5C7D31D8"/>
    <w:rsid w:val="5C86230F"/>
    <w:rsid w:val="5CA02A22"/>
    <w:rsid w:val="5CA35F09"/>
    <w:rsid w:val="5CAF2C65"/>
    <w:rsid w:val="5CB00EB7"/>
    <w:rsid w:val="5CB27D46"/>
    <w:rsid w:val="5CC52A0E"/>
    <w:rsid w:val="5CD473BF"/>
    <w:rsid w:val="5CD75E2C"/>
    <w:rsid w:val="5CDB646D"/>
    <w:rsid w:val="5CDF179C"/>
    <w:rsid w:val="5CE46DB3"/>
    <w:rsid w:val="5CE51C65"/>
    <w:rsid w:val="5CF74E92"/>
    <w:rsid w:val="5D066D29"/>
    <w:rsid w:val="5D1740AB"/>
    <w:rsid w:val="5D3B06F8"/>
    <w:rsid w:val="5D3D187C"/>
    <w:rsid w:val="5D562428"/>
    <w:rsid w:val="5D5A7075"/>
    <w:rsid w:val="5D616655"/>
    <w:rsid w:val="5D72765A"/>
    <w:rsid w:val="5D79399F"/>
    <w:rsid w:val="5D9F0F2C"/>
    <w:rsid w:val="5DB03139"/>
    <w:rsid w:val="5DB6074F"/>
    <w:rsid w:val="5DB86568"/>
    <w:rsid w:val="5DC21912"/>
    <w:rsid w:val="5DC6140F"/>
    <w:rsid w:val="5DCA244C"/>
    <w:rsid w:val="5DCB736F"/>
    <w:rsid w:val="5DD21301"/>
    <w:rsid w:val="5DD63AE4"/>
    <w:rsid w:val="5DE07025"/>
    <w:rsid w:val="5DE73E1B"/>
    <w:rsid w:val="5DEF1EB3"/>
    <w:rsid w:val="5DF67222"/>
    <w:rsid w:val="5DFA0F5A"/>
    <w:rsid w:val="5E0406C7"/>
    <w:rsid w:val="5E0474EB"/>
    <w:rsid w:val="5E0C0143"/>
    <w:rsid w:val="5E0D2339"/>
    <w:rsid w:val="5E111E29"/>
    <w:rsid w:val="5E312072"/>
    <w:rsid w:val="5E471383"/>
    <w:rsid w:val="5E473F74"/>
    <w:rsid w:val="5E604B5F"/>
    <w:rsid w:val="5E60690D"/>
    <w:rsid w:val="5E7650F6"/>
    <w:rsid w:val="5E79352B"/>
    <w:rsid w:val="5E7B3747"/>
    <w:rsid w:val="5EA10DB3"/>
    <w:rsid w:val="5EB42081"/>
    <w:rsid w:val="5EB5270C"/>
    <w:rsid w:val="5EB84053"/>
    <w:rsid w:val="5EBB1D95"/>
    <w:rsid w:val="5EC01F02"/>
    <w:rsid w:val="5EC91918"/>
    <w:rsid w:val="5ECB5C00"/>
    <w:rsid w:val="5ED370DF"/>
    <w:rsid w:val="5ED74D3D"/>
    <w:rsid w:val="5ED826CB"/>
    <w:rsid w:val="5ED864A3"/>
    <w:rsid w:val="5EEB7267"/>
    <w:rsid w:val="5EEC01A1"/>
    <w:rsid w:val="5EEE216B"/>
    <w:rsid w:val="5EF239C7"/>
    <w:rsid w:val="5EF64B7B"/>
    <w:rsid w:val="5EF7101F"/>
    <w:rsid w:val="5EFF6126"/>
    <w:rsid w:val="5F034A5F"/>
    <w:rsid w:val="5F0C25F1"/>
    <w:rsid w:val="5F10773B"/>
    <w:rsid w:val="5F240DA9"/>
    <w:rsid w:val="5F2636B2"/>
    <w:rsid w:val="5F41673E"/>
    <w:rsid w:val="5F465B03"/>
    <w:rsid w:val="5F530220"/>
    <w:rsid w:val="5F6837EC"/>
    <w:rsid w:val="5F6E2F99"/>
    <w:rsid w:val="5F797C86"/>
    <w:rsid w:val="5F7C32D2"/>
    <w:rsid w:val="5F926F9A"/>
    <w:rsid w:val="5F943190"/>
    <w:rsid w:val="5F9C209E"/>
    <w:rsid w:val="5F9C5723"/>
    <w:rsid w:val="5FA37609"/>
    <w:rsid w:val="5FA6034F"/>
    <w:rsid w:val="5FC353A5"/>
    <w:rsid w:val="5FC8476A"/>
    <w:rsid w:val="5FD7456C"/>
    <w:rsid w:val="5FF40A7C"/>
    <w:rsid w:val="60073737"/>
    <w:rsid w:val="6014175D"/>
    <w:rsid w:val="602A6CFE"/>
    <w:rsid w:val="6032324E"/>
    <w:rsid w:val="60341DFF"/>
    <w:rsid w:val="60357AD2"/>
    <w:rsid w:val="60461B78"/>
    <w:rsid w:val="604D4C6F"/>
    <w:rsid w:val="60512E34"/>
    <w:rsid w:val="60546B08"/>
    <w:rsid w:val="60742A82"/>
    <w:rsid w:val="60885CA7"/>
    <w:rsid w:val="608A66C7"/>
    <w:rsid w:val="60A70B9F"/>
    <w:rsid w:val="60B13450"/>
    <w:rsid w:val="60B847DE"/>
    <w:rsid w:val="60C9490B"/>
    <w:rsid w:val="60D60C20"/>
    <w:rsid w:val="60D809DC"/>
    <w:rsid w:val="60EC092C"/>
    <w:rsid w:val="60EF5D26"/>
    <w:rsid w:val="60F82E2D"/>
    <w:rsid w:val="60FF74F5"/>
    <w:rsid w:val="611A7247"/>
    <w:rsid w:val="6131776C"/>
    <w:rsid w:val="613A51F3"/>
    <w:rsid w:val="613F6CAD"/>
    <w:rsid w:val="616D5194"/>
    <w:rsid w:val="616E30EF"/>
    <w:rsid w:val="616F4AD1"/>
    <w:rsid w:val="617526CF"/>
    <w:rsid w:val="617D3332"/>
    <w:rsid w:val="619221CF"/>
    <w:rsid w:val="61975D19"/>
    <w:rsid w:val="61A82AA5"/>
    <w:rsid w:val="61B63E2F"/>
    <w:rsid w:val="61C07907"/>
    <w:rsid w:val="61C96577"/>
    <w:rsid w:val="61D21946"/>
    <w:rsid w:val="620007E2"/>
    <w:rsid w:val="62031644"/>
    <w:rsid w:val="6206432F"/>
    <w:rsid w:val="620D46B6"/>
    <w:rsid w:val="621B3A63"/>
    <w:rsid w:val="621E68C3"/>
    <w:rsid w:val="6224268B"/>
    <w:rsid w:val="622639C9"/>
    <w:rsid w:val="62264CB4"/>
    <w:rsid w:val="623B0C68"/>
    <w:rsid w:val="623C143F"/>
    <w:rsid w:val="624A3ACC"/>
    <w:rsid w:val="62570449"/>
    <w:rsid w:val="626B46B7"/>
    <w:rsid w:val="626D194D"/>
    <w:rsid w:val="62723035"/>
    <w:rsid w:val="62767D98"/>
    <w:rsid w:val="627E6FB4"/>
    <w:rsid w:val="62814EDF"/>
    <w:rsid w:val="62A82630"/>
    <w:rsid w:val="62A84948"/>
    <w:rsid w:val="62AF1C11"/>
    <w:rsid w:val="62B2525D"/>
    <w:rsid w:val="62BA110E"/>
    <w:rsid w:val="62CF372A"/>
    <w:rsid w:val="62D1798C"/>
    <w:rsid w:val="62D37AD2"/>
    <w:rsid w:val="62E053D1"/>
    <w:rsid w:val="62F13FD7"/>
    <w:rsid w:val="6300479D"/>
    <w:rsid w:val="630F140E"/>
    <w:rsid w:val="631B2E02"/>
    <w:rsid w:val="63273E9D"/>
    <w:rsid w:val="632C3261"/>
    <w:rsid w:val="633E4CE0"/>
    <w:rsid w:val="63460C1E"/>
    <w:rsid w:val="63473ED4"/>
    <w:rsid w:val="635F53E5"/>
    <w:rsid w:val="637D586B"/>
    <w:rsid w:val="63943403"/>
    <w:rsid w:val="6395007C"/>
    <w:rsid w:val="639B2BDB"/>
    <w:rsid w:val="63A1155A"/>
    <w:rsid w:val="63CD6390"/>
    <w:rsid w:val="63D12E5B"/>
    <w:rsid w:val="63ED10A7"/>
    <w:rsid w:val="63F20007"/>
    <w:rsid w:val="63F4678C"/>
    <w:rsid w:val="63FE69AC"/>
    <w:rsid w:val="640146EE"/>
    <w:rsid w:val="640E3D00"/>
    <w:rsid w:val="64122457"/>
    <w:rsid w:val="641336CD"/>
    <w:rsid w:val="641B57B0"/>
    <w:rsid w:val="642C3758"/>
    <w:rsid w:val="64412D3D"/>
    <w:rsid w:val="64502F80"/>
    <w:rsid w:val="64550596"/>
    <w:rsid w:val="64731F25"/>
    <w:rsid w:val="64764B94"/>
    <w:rsid w:val="647E6110"/>
    <w:rsid w:val="64A62BA0"/>
    <w:rsid w:val="64A86918"/>
    <w:rsid w:val="64B21E1A"/>
    <w:rsid w:val="64B5546B"/>
    <w:rsid w:val="64B81251"/>
    <w:rsid w:val="64CC6AAA"/>
    <w:rsid w:val="64D91662"/>
    <w:rsid w:val="64EA5182"/>
    <w:rsid w:val="650614FC"/>
    <w:rsid w:val="652D06D6"/>
    <w:rsid w:val="65316133"/>
    <w:rsid w:val="655404AA"/>
    <w:rsid w:val="65670581"/>
    <w:rsid w:val="656C3DE9"/>
    <w:rsid w:val="6578453C"/>
    <w:rsid w:val="657B15BD"/>
    <w:rsid w:val="65962C14"/>
    <w:rsid w:val="65A26DE7"/>
    <w:rsid w:val="65A610A9"/>
    <w:rsid w:val="65CB4FB4"/>
    <w:rsid w:val="65D04AC6"/>
    <w:rsid w:val="65DC0635"/>
    <w:rsid w:val="65E240AB"/>
    <w:rsid w:val="65F22540"/>
    <w:rsid w:val="660758C0"/>
    <w:rsid w:val="661F3848"/>
    <w:rsid w:val="662D5327"/>
    <w:rsid w:val="662E541A"/>
    <w:rsid w:val="66326DE1"/>
    <w:rsid w:val="66384BF6"/>
    <w:rsid w:val="664B7EA3"/>
    <w:rsid w:val="664E34EF"/>
    <w:rsid w:val="66514769"/>
    <w:rsid w:val="6655098A"/>
    <w:rsid w:val="665723A3"/>
    <w:rsid w:val="66612CC3"/>
    <w:rsid w:val="66754F1F"/>
    <w:rsid w:val="66782500"/>
    <w:rsid w:val="66A44E91"/>
    <w:rsid w:val="66A7544F"/>
    <w:rsid w:val="66AA3879"/>
    <w:rsid w:val="66AD290B"/>
    <w:rsid w:val="66BC43D8"/>
    <w:rsid w:val="66BF6EA0"/>
    <w:rsid w:val="66C4430D"/>
    <w:rsid w:val="66CA0DC7"/>
    <w:rsid w:val="66CD08B8"/>
    <w:rsid w:val="66D7477E"/>
    <w:rsid w:val="66F01C71"/>
    <w:rsid w:val="66FB71D3"/>
    <w:rsid w:val="67267B49"/>
    <w:rsid w:val="672A3641"/>
    <w:rsid w:val="67334BBF"/>
    <w:rsid w:val="674943E2"/>
    <w:rsid w:val="674E1C5D"/>
    <w:rsid w:val="674F4958"/>
    <w:rsid w:val="675850EC"/>
    <w:rsid w:val="67654F94"/>
    <w:rsid w:val="67656D42"/>
    <w:rsid w:val="676F7BC1"/>
    <w:rsid w:val="67760F4F"/>
    <w:rsid w:val="67784CC7"/>
    <w:rsid w:val="67916D89"/>
    <w:rsid w:val="67990358"/>
    <w:rsid w:val="67A55390"/>
    <w:rsid w:val="67A930D3"/>
    <w:rsid w:val="67B12E32"/>
    <w:rsid w:val="67B94748"/>
    <w:rsid w:val="67BA0E3C"/>
    <w:rsid w:val="67C019F6"/>
    <w:rsid w:val="67C27CF0"/>
    <w:rsid w:val="67DA7730"/>
    <w:rsid w:val="67DE21B0"/>
    <w:rsid w:val="67FA5148"/>
    <w:rsid w:val="68000819"/>
    <w:rsid w:val="68190258"/>
    <w:rsid w:val="681C1AF7"/>
    <w:rsid w:val="681C3331"/>
    <w:rsid w:val="683010FE"/>
    <w:rsid w:val="683662EF"/>
    <w:rsid w:val="683706DE"/>
    <w:rsid w:val="683C5CF5"/>
    <w:rsid w:val="683F3218"/>
    <w:rsid w:val="6841155D"/>
    <w:rsid w:val="68426D98"/>
    <w:rsid w:val="684D1CB0"/>
    <w:rsid w:val="68692862"/>
    <w:rsid w:val="68776227"/>
    <w:rsid w:val="687D65EC"/>
    <w:rsid w:val="688E0268"/>
    <w:rsid w:val="689E250C"/>
    <w:rsid w:val="68A9069F"/>
    <w:rsid w:val="68B03FED"/>
    <w:rsid w:val="68C67300"/>
    <w:rsid w:val="68F4037D"/>
    <w:rsid w:val="69052F6C"/>
    <w:rsid w:val="690F51B7"/>
    <w:rsid w:val="69140A20"/>
    <w:rsid w:val="691E189E"/>
    <w:rsid w:val="691E364C"/>
    <w:rsid w:val="69222AC7"/>
    <w:rsid w:val="692C3FBB"/>
    <w:rsid w:val="692D287B"/>
    <w:rsid w:val="692F256A"/>
    <w:rsid w:val="69320EA6"/>
    <w:rsid w:val="693B59BC"/>
    <w:rsid w:val="69456E2B"/>
    <w:rsid w:val="69474218"/>
    <w:rsid w:val="694A2693"/>
    <w:rsid w:val="69636506"/>
    <w:rsid w:val="69694880"/>
    <w:rsid w:val="696C260A"/>
    <w:rsid w:val="69782F2E"/>
    <w:rsid w:val="69A022B3"/>
    <w:rsid w:val="69A47FF6"/>
    <w:rsid w:val="69C73CE4"/>
    <w:rsid w:val="69D72179"/>
    <w:rsid w:val="69DA7573"/>
    <w:rsid w:val="69DD040E"/>
    <w:rsid w:val="69F04FE9"/>
    <w:rsid w:val="69FB0EBE"/>
    <w:rsid w:val="6A0044E3"/>
    <w:rsid w:val="6A0F2D5E"/>
    <w:rsid w:val="6A1567FD"/>
    <w:rsid w:val="6A162576"/>
    <w:rsid w:val="6A2E3D63"/>
    <w:rsid w:val="6A31288F"/>
    <w:rsid w:val="6A5C1789"/>
    <w:rsid w:val="6A637004"/>
    <w:rsid w:val="6A66520F"/>
    <w:rsid w:val="6A701C86"/>
    <w:rsid w:val="6A751ABC"/>
    <w:rsid w:val="6A8E0C26"/>
    <w:rsid w:val="6A9E2BD5"/>
    <w:rsid w:val="6AAF0A00"/>
    <w:rsid w:val="6AC16985"/>
    <w:rsid w:val="6AC4081C"/>
    <w:rsid w:val="6AE362EB"/>
    <w:rsid w:val="6AFD33F0"/>
    <w:rsid w:val="6AFE78D5"/>
    <w:rsid w:val="6AFF2CF2"/>
    <w:rsid w:val="6B070C96"/>
    <w:rsid w:val="6B114A45"/>
    <w:rsid w:val="6B1747B4"/>
    <w:rsid w:val="6B421874"/>
    <w:rsid w:val="6B4849B1"/>
    <w:rsid w:val="6B4A697B"/>
    <w:rsid w:val="6B4F21E3"/>
    <w:rsid w:val="6B6A4927"/>
    <w:rsid w:val="6B6F018F"/>
    <w:rsid w:val="6B741C4A"/>
    <w:rsid w:val="6B777044"/>
    <w:rsid w:val="6B811C71"/>
    <w:rsid w:val="6BC55907"/>
    <w:rsid w:val="6BDA5F51"/>
    <w:rsid w:val="6BE75A37"/>
    <w:rsid w:val="6BEE5558"/>
    <w:rsid w:val="6BEF307E"/>
    <w:rsid w:val="6BEF3A97"/>
    <w:rsid w:val="6BF1329A"/>
    <w:rsid w:val="6BFA418C"/>
    <w:rsid w:val="6C0528A2"/>
    <w:rsid w:val="6C093986"/>
    <w:rsid w:val="6C152AE5"/>
    <w:rsid w:val="6C1C4E12"/>
    <w:rsid w:val="6C26267A"/>
    <w:rsid w:val="6C2B67AC"/>
    <w:rsid w:val="6C2F630D"/>
    <w:rsid w:val="6C474C68"/>
    <w:rsid w:val="6C5F2B8C"/>
    <w:rsid w:val="6C6C46CF"/>
    <w:rsid w:val="6C6D2921"/>
    <w:rsid w:val="6C6E6699"/>
    <w:rsid w:val="6C7517D5"/>
    <w:rsid w:val="6C89702F"/>
    <w:rsid w:val="6C961A96"/>
    <w:rsid w:val="6C964EB9"/>
    <w:rsid w:val="6CA51E3D"/>
    <w:rsid w:val="6CAD71C1"/>
    <w:rsid w:val="6CBD0715"/>
    <w:rsid w:val="6CD429A0"/>
    <w:rsid w:val="6CDA490C"/>
    <w:rsid w:val="6CEB1A97"/>
    <w:rsid w:val="6CFA1CDB"/>
    <w:rsid w:val="6CFF5543"/>
    <w:rsid w:val="6D112E8D"/>
    <w:rsid w:val="6D1234C8"/>
    <w:rsid w:val="6D150EB1"/>
    <w:rsid w:val="6D1976A3"/>
    <w:rsid w:val="6D2117A9"/>
    <w:rsid w:val="6D262AD0"/>
    <w:rsid w:val="6D3458F1"/>
    <w:rsid w:val="6D4F0278"/>
    <w:rsid w:val="6D7F4633"/>
    <w:rsid w:val="6D875793"/>
    <w:rsid w:val="6D942DA2"/>
    <w:rsid w:val="6D9817F8"/>
    <w:rsid w:val="6D9C7F3E"/>
    <w:rsid w:val="6DA265FA"/>
    <w:rsid w:val="6DD37B81"/>
    <w:rsid w:val="6DDC45CC"/>
    <w:rsid w:val="6DFD1A82"/>
    <w:rsid w:val="6DFE33ED"/>
    <w:rsid w:val="6E1955C8"/>
    <w:rsid w:val="6E264F2B"/>
    <w:rsid w:val="6E4678CD"/>
    <w:rsid w:val="6E4C0C5C"/>
    <w:rsid w:val="6E5042A8"/>
    <w:rsid w:val="6E5D0662"/>
    <w:rsid w:val="6E657628"/>
    <w:rsid w:val="6E753D0F"/>
    <w:rsid w:val="6E7855AD"/>
    <w:rsid w:val="6E7A6D9C"/>
    <w:rsid w:val="6E815490"/>
    <w:rsid w:val="6E842B75"/>
    <w:rsid w:val="6E851A78"/>
    <w:rsid w:val="6E8A215A"/>
    <w:rsid w:val="6E91041D"/>
    <w:rsid w:val="6E913FDB"/>
    <w:rsid w:val="6E9879FD"/>
    <w:rsid w:val="6E9E01DC"/>
    <w:rsid w:val="6EA14B04"/>
    <w:rsid w:val="6EA32620"/>
    <w:rsid w:val="6EA84618"/>
    <w:rsid w:val="6EB70A40"/>
    <w:rsid w:val="6EBF31DC"/>
    <w:rsid w:val="6EBF4F8A"/>
    <w:rsid w:val="6EC425A0"/>
    <w:rsid w:val="6EC61AAA"/>
    <w:rsid w:val="6EDB4136"/>
    <w:rsid w:val="6EDE7B06"/>
    <w:rsid w:val="6EE17214"/>
    <w:rsid w:val="6EE64C0C"/>
    <w:rsid w:val="6EEB2223"/>
    <w:rsid w:val="6EF47329"/>
    <w:rsid w:val="6EFE3352"/>
    <w:rsid w:val="6F045092"/>
    <w:rsid w:val="6F0D3F47"/>
    <w:rsid w:val="6F2E3EBD"/>
    <w:rsid w:val="6F372FD7"/>
    <w:rsid w:val="6F3C1C88"/>
    <w:rsid w:val="6F3D725D"/>
    <w:rsid w:val="6F451933"/>
    <w:rsid w:val="6F524050"/>
    <w:rsid w:val="6F55769C"/>
    <w:rsid w:val="6F6A1399"/>
    <w:rsid w:val="6F7B5355"/>
    <w:rsid w:val="6F8206C9"/>
    <w:rsid w:val="6F881507"/>
    <w:rsid w:val="6F8F403F"/>
    <w:rsid w:val="6F9E7295"/>
    <w:rsid w:val="6FAC10DA"/>
    <w:rsid w:val="6FB03FF6"/>
    <w:rsid w:val="6FBB39A3"/>
    <w:rsid w:val="6FC71282"/>
    <w:rsid w:val="6FC957C7"/>
    <w:rsid w:val="6FD44A65"/>
    <w:rsid w:val="6FD55033"/>
    <w:rsid w:val="6FDC3CFD"/>
    <w:rsid w:val="6FF46241"/>
    <w:rsid w:val="6FF53F7B"/>
    <w:rsid w:val="6FF87E16"/>
    <w:rsid w:val="70057AA0"/>
    <w:rsid w:val="700A66D9"/>
    <w:rsid w:val="702457A0"/>
    <w:rsid w:val="7027728A"/>
    <w:rsid w:val="702A0B29"/>
    <w:rsid w:val="702E23C7"/>
    <w:rsid w:val="70384FF4"/>
    <w:rsid w:val="703B779E"/>
    <w:rsid w:val="70433998"/>
    <w:rsid w:val="705020FD"/>
    <w:rsid w:val="706C1141"/>
    <w:rsid w:val="707F181E"/>
    <w:rsid w:val="70912956"/>
    <w:rsid w:val="709A7A5C"/>
    <w:rsid w:val="70A73F27"/>
    <w:rsid w:val="70A83BC7"/>
    <w:rsid w:val="70AC59E2"/>
    <w:rsid w:val="70B54896"/>
    <w:rsid w:val="70C90342"/>
    <w:rsid w:val="70C96594"/>
    <w:rsid w:val="70DD3DED"/>
    <w:rsid w:val="70DF36C1"/>
    <w:rsid w:val="70ED0DF6"/>
    <w:rsid w:val="70FC4273"/>
    <w:rsid w:val="710D4A4E"/>
    <w:rsid w:val="711041C2"/>
    <w:rsid w:val="711106ED"/>
    <w:rsid w:val="71145A61"/>
    <w:rsid w:val="711A34A8"/>
    <w:rsid w:val="711C5B26"/>
    <w:rsid w:val="71395AE7"/>
    <w:rsid w:val="71435D5C"/>
    <w:rsid w:val="71463740"/>
    <w:rsid w:val="715E6F30"/>
    <w:rsid w:val="71773809"/>
    <w:rsid w:val="717C72B8"/>
    <w:rsid w:val="71834994"/>
    <w:rsid w:val="718E2050"/>
    <w:rsid w:val="71A92072"/>
    <w:rsid w:val="71AA0173"/>
    <w:rsid w:val="71AA2021"/>
    <w:rsid w:val="71AF6C63"/>
    <w:rsid w:val="71C8684B"/>
    <w:rsid w:val="71CF1988"/>
    <w:rsid w:val="71E371E1"/>
    <w:rsid w:val="71EE7955"/>
    <w:rsid w:val="71F633B8"/>
    <w:rsid w:val="71F87130"/>
    <w:rsid w:val="71FE04BF"/>
    <w:rsid w:val="71FF19F4"/>
    <w:rsid w:val="71FF260A"/>
    <w:rsid w:val="72004973"/>
    <w:rsid w:val="72236454"/>
    <w:rsid w:val="72240933"/>
    <w:rsid w:val="723932A5"/>
    <w:rsid w:val="724265FE"/>
    <w:rsid w:val="724A3704"/>
    <w:rsid w:val="7275252F"/>
    <w:rsid w:val="72853B30"/>
    <w:rsid w:val="72874010"/>
    <w:rsid w:val="729A3D44"/>
    <w:rsid w:val="72A2709C"/>
    <w:rsid w:val="72B91FED"/>
    <w:rsid w:val="72CC5EC7"/>
    <w:rsid w:val="72D51220"/>
    <w:rsid w:val="72D7021C"/>
    <w:rsid w:val="72E41463"/>
    <w:rsid w:val="72E96A79"/>
    <w:rsid w:val="72F01BB6"/>
    <w:rsid w:val="72FB055A"/>
    <w:rsid w:val="73117D7E"/>
    <w:rsid w:val="73131D48"/>
    <w:rsid w:val="7315786E"/>
    <w:rsid w:val="73252B34"/>
    <w:rsid w:val="732553DF"/>
    <w:rsid w:val="735505EC"/>
    <w:rsid w:val="735C724B"/>
    <w:rsid w:val="73614861"/>
    <w:rsid w:val="73751E5F"/>
    <w:rsid w:val="7375655F"/>
    <w:rsid w:val="7377177D"/>
    <w:rsid w:val="737F7155"/>
    <w:rsid w:val="7386251A"/>
    <w:rsid w:val="739B4217"/>
    <w:rsid w:val="739F710D"/>
    <w:rsid w:val="73A40BF2"/>
    <w:rsid w:val="73B47087"/>
    <w:rsid w:val="73CC2623"/>
    <w:rsid w:val="73CF2113"/>
    <w:rsid w:val="73D019E7"/>
    <w:rsid w:val="73E21E46"/>
    <w:rsid w:val="73E47231"/>
    <w:rsid w:val="73E82605"/>
    <w:rsid w:val="73EF1E6D"/>
    <w:rsid w:val="73FA09B3"/>
    <w:rsid w:val="73FC17D3"/>
    <w:rsid w:val="740C24B9"/>
    <w:rsid w:val="742066C6"/>
    <w:rsid w:val="742642A6"/>
    <w:rsid w:val="74283953"/>
    <w:rsid w:val="74297432"/>
    <w:rsid w:val="743D0E63"/>
    <w:rsid w:val="743D707D"/>
    <w:rsid w:val="744C1C4A"/>
    <w:rsid w:val="74703B90"/>
    <w:rsid w:val="74714F78"/>
    <w:rsid w:val="747409B6"/>
    <w:rsid w:val="7487148E"/>
    <w:rsid w:val="748F53FE"/>
    <w:rsid w:val="749A44CF"/>
    <w:rsid w:val="74A94712"/>
    <w:rsid w:val="74B02D01"/>
    <w:rsid w:val="74B80DF9"/>
    <w:rsid w:val="74BE1FF1"/>
    <w:rsid w:val="74D3353D"/>
    <w:rsid w:val="74D4475B"/>
    <w:rsid w:val="74D6302D"/>
    <w:rsid w:val="74D84B19"/>
    <w:rsid w:val="74FF6B82"/>
    <w:rsid w:val="75011806"/>
    <w:rsid w:val="7501454E"/>
    <w:rsid w:val="750362D4"/>
    <w:rsid w:val="75136FA0"/>
    <w:rsid w:val="751A116C"/>
    <w:rsid w:val="75204101"/>
    <w:rsid w:val="753A1F29"/>
    <w:rsid w:val="753D4E5A"/>
    <w:rsid w:val="75524DAA"/>
    <w:rsid w:val="756E5368"/>
    <w:rsid w:val="75722D56"/>
    <w:rsid w:val="75750A98"/>
    <w:rsid w:val="7575451E"/>
    <w:rsid w:val="757D6F76"/>
    <w:rsid w:val="758962F1"/>
    <w:rsid w:val="758F1B5A"/>
    <w:rsid w:val="75A90742"/>
    <w:rsid w:val="75A9392D"/>
    <w:rsid w:val="75AE7B06"/>
    <w:rsid w:val="75BA294F"/>
    <w:rsid w:val="75C90A12"/>
    <w:rsid w:val="75CF63FA"/>
    <w:rsid w:val="75D43A11"/>
    <w:rsid w:val="75D92DD5"/>
    <w:rsid w:val="75E35A02"/>
    <w:rsid w:val="75E63744"/>
    <w:rsid w:val="75EB2B08"/>
    <w:rsid w:val="76020FBD"/>
    <w:rsid w:val="760A5684"/>
    <w:rsid w:val="761262E7"/>
    <w:rsid w:val="761354B8"/>
    <w:rsid w:val="761B33ED"/>
    <w:rsid w:val="76297DEC"/>
    <w:rsid w:val="762A545F"/>
    <w:rsid w:val="76377AFB"/>
    <w:rsid w:val="764057CD"/>
    <w:rsid w:val="7645046A"/>
    <w:rsid w:val="76486C79"/>
    <w:rsid w:val="764D731F"/>
    <w:rsid w:val="765608C9"/>
    <w:rsid w:val="765715D4"/>
    <w:rsid w:val="76676633"/>
    <w:rsid w:val="766A1C7F"/>
    <w:rsid w:val="7671125F"/>
    <w:rsid w:val="767D17CC"/>
    <w:rsid w:val="7682346D"/>
    <w:rsid w:val="76A72ED3"/>
    <w:rsid w:val="76CA4E14"/>
    <w:rsid w:val="76CE16D7"/>
    <w:rsid w:val="76CF21A1"/>
    <w:rsid w:val="76D452AF"/>
    <w:rsid w:val="7728641A"/>
    <w:rsid w:val="772E3D6F"/>
    <w:rsid w:val="77452B4E"/>
    <w:rsid w:val="77866F8C"/>
    <w:rsid w:val="778C3E77"/>
    <w:rsid w:val="778E562A"/>
    <w:rsid w:val="779A1ED2"/>
    <w:rsid w:val="779E288C"/>
    <w:rsid w:val="779E794E"/>
    <w:rsid w:val="77A6767B"/>
    <w:rsid w:val="77A86F03"/>
    <w:rsid w:val="77A967D7"/>
    <w:rsid w:val="77B10B6D"/>
    <w:rsid w:val="77C06135"/>
    <w:rsid w:val="77C67389"/>
    <w:rsid w:val="77F42148"/>
    <w:rsid w:val="781400F4"/>
    <w:rsid w:val="78143B0C"/>
    <w:rsid w:val="78160310"/>
    <w:rsid w:val="78281DF2"/>
    <w:rsid w:val="782B18E2"/>
    <w:rsid w:val="782C1605"/>
    <w:rsid w:val="782E591C"/>
    <w:rsid w:val="78300CA6"/>
    <w:rsid w:val="78326E04"/>
    <w:rsid w:val="784C2545"/>
    <w:rsid w:val="78504522"/>
    <w:rsid w:val="78506CBE"/>
    <w:rsid w:val="78622110"/>
    <w:rsid w:val="78656BA2"/>
    <w:rsid w:val="786A065C"/>
    <w:rsid w:val="78875078"/>
    <w:rsid w:val="789F4234"/>
    <w:rsid w:val="78A07E89"/>
    <w:rsid w:val="78BB3A4A"/>
    <w:rsid w:val="78C0027C"/>
    <w:rsid w:val="78CD4747"/>
    <w:rsid w:val="78CE3CF5"/>
    <w:rsid w:val="78D863D1"/>
    <w:rsid w:val="78E8332F"/>
    <w:rsid w:val="78EE303B"/>
    <w:rsid w:val="78EE6B97"/>
    <w:rsid w:val="78F341AE"/>
    <w:rsid w:val="791B1956"/>
    <w:rsid w:val="79294073"/>
    <w:rsid w:val="792F7717"/>
    <w:rsid w:val="79373BA9"/>
    <w:rsid w:val="793F12A3"/>
    <w:rsid w:val="79642C46"/>
    <w:rsid w:val="79714349"/>
    <w:rsid w:val="79770DE0"/>
    <w:rsid w:val="797A48CF"/>
    <w:rsid w:val="797F3C93"/>
    <w:rsid w:val="79905EA0"/>
    <w:rsid w:val="7998207A"/>
    <w:rsid w:val="79AB51F5"/>
    <w:rsid w:val="79AE6327"/>
    <w:rsid w:val="79B27D1F"/>
    <w:rsid w:val="79BE0EF0"/>
    <w:rsid w:val="79C8563A"/>
    <w:rsid w:val="79D0629D"/>
    <w:rsid w:val="79D441CE"/>
    <w:rsid w:val="79DA22F9"/>
    <w:rsid w:val="79E4439B"/>
    <w:rsid w:val="7A0447E1"/>
    <w:rsid w:val="7A6A1293"/>
    <w:rsid w:val="7A8A28F0"/>
    <w:rsid w:val="7A8D3907"/>
    <w:rsid w:val="7A8E73BA"/>
    <w:rsid w:val="7A956C55"/>
    <w:rsid w:val="7A9E283F"/>
    <w:rsid w:val="7ABD49E7"/>
    <w:rsid w:val="7AD35353"/>
    <w:rsid w:val="7AEF309B"/>
    <w:rsid w:val="7AFE6E3A"/>
    <w:rsid w:val="7B14665D"/>
    <w:rsid w:val="7B164ECE"/>
    <w:rsid w:val="7B170216"/>
    <w:rsid w:val="7B4C1A2E"/>
    <w:rsid w:val="7B4D4174"/>
    <w:rsid w:val="7B537186"/>
    <w:rsid w:val="7B6350CB"/>
    <w:rsid w:val="7B6773DA"/>
    <w:rsid w:val="7B6A318A"/>
    <w:rsid w:val="7B784E3E"/>
    <w:rsid w:val="7B860580"/>
    <w:rsid w:val="7B886C9B"/>
    <w:rsid w:val="7B8B4B71"/>
    <w:rsid w:val="7B9B2860"/>
    <w:rsid w:val="7BB35CA4"/>
    <w:rsid w:val="7BB35E76"/>
    <w:rsid w:val="7BB816DF"/>
    <w:rsid w:val="7BC81055"/>
    <w:rsid w:val="7BF70DEE"/>
    <w:rsid w:val="7BF72207"/>
    <w:rsid w:val="7C06244A"/>
    <w:rsid w:val="7C1032DF"/>
    <w:rsid w:val="7C142DB9"/>
    <w:rsid w:val="7C1A5EF5"/>
    <w:rsid w:val="7C1C1C6D"/>
    <w:rsid w:val="7C231C95"/>
    <w:rsid w:val="7C2D3E7B"/>
    <w:rsid w:val="7C3F7891"/>
    <w:rsid w:val="7C556F2D"/>
    <w:rsid w:val="7C6F6241"/>
    <w:rsid w:val="7C741AA9"/>
    <w:rsid w:val="7C76154A"/>
    <w:rsid w:val="7C765821"/>
    <w:rsid w:val="7C802074"/>
    <w:rsid w:val="7C8A4E29"/>
    <w:rsid w:val="7C8B0BA1"/>
    <w:rsid w:val="7C8B113D"/>
    <w:rsid w:val="7C8D66C7"/>
    <w:rsid w:val="7C981D45"/>
    <w:rsid w:val="7C9D252C"/>
    <w:rsid w:val="7CA21C7D"/>
    <w:rsid w:val="7CAD6D69"/>
    <w:rsid w:val="7CB26CCA"/>
    <w:rsid w:val="7CD2193A"/>
    <w:rsid w:val="7CF14EA8"/>
    <w:rsid w:val="7CF229CE"/>
    <w:rsid w:val="7CF36E72"/>
    <w:rsid w:val="7CF90201"/>
    <w:rsid w:val="7CFC55FB"/>
    <w:rsid w:val="7CFD384D"/>
    <w:rsid w:val="7D044DB2"/>
    <w:rsid w:val="7D0746CC"/>
    <w:rsid w:val="7D126BCC"/>
    <w:rsid w:val="7D1E37C3"/>
    <w:rsid w:val="7D20753B"/>
    <w:rsid w:val="7D284642"/>
    <w:rsid w:val="7D341239"/>
    <w:rsid w:val="7D3428FC"/>
    <w:rsid w:val="7D3A16E9"/>
    <w:rsid w:val="7D435E06"/>
    <w:rsid w:val="7D450D50"/>
    <w:rsid w:val="7D5F709D"/>
    <w:rsid w:val="7D627B54"/>
    <w:rsid w:val="7D6B1AC0"/>
    <w:rsid w:val="7D747887"/>
    <w:rsid w:val="7D807FDA"/>
    <w:rsid w:val="7D8201F6"/>
    <w:rsid w:val="7D8C0DCD"/>
    <w:rsid w:val="7D9341B1"/>
    <w:rsid w:val="7DA10BFA"/>
    <w:rsid w:val="7DA52565"/>
    <w:rsid w:val="7DA939D5"/>
    <w:rsid w:val="7DAE2D99"/>
    <w:rsid w:val="7DBC3788"/>
    <w:rsid w:val="7DBD084D"/>
    <w:rsid w:val="7DC51E91"/>
    <w:rsid w:val="7DE70059"/>
    <w:rsid w:val="7DF36C3F"/>
    <w:rsid w:val="7E1A3F8B"/>
    <w:rsid w:val="7E1A7A97"/>
    <w:rsid w:val="7E3D2311"/>
    <w:rsid w:val="7E4436FD"/>
    <w:rsid w:val="7E525578"/>
    <w:rsid w:val="7E6206B4"/>
    <w:rsid w:val="7E68119A"/>
    <w:rsid w:val="7E6B6EDC"/>
    <w:rsid w:val="7E7E09BD"/>
    <w:rsid w:val="7E8835EA"/>
    <w:rsid w:val="7E885FAB"/>
    <w:rsid w:val="7E8A7362"/>
    <w:rsid w:val="7E9401E1"/>
    <w:rsid w:val="7E97382D"/>
    <w:rsid w:val="7E983690"/>
    <w:rsid w:val="7EAD3D53"/>
    <w:rsid w:val="7EC136DB"/>
    <w:rsid w:val="7EC209E3"/>
    <w:rsid w:val="7EC32874"/>
    <w:rsid w:val="7EC565EC"/>
    <w:rsid w:val="7EC860DC"/>
    <w:rsid w:val="7ECB23AA"/>
    <w:rsid w:val="7ED06D3F"/>
    <w:rsid w:val="7EE527EB"/>
    <w:rsid w:val="7EEB2CAF"/>
    <w:rsid w:val="7EEF71C5"/>
    <w:rsid w:val="7EF0118F"/>
    <w:rsid w:val="7EF649F8"/>
    <w:rsid w:val="7EFE4F9A"/>
    <w:rsid w:val="7F1E7AAB"/>
    <w:rsid w:val="7F31387D"/>
    <w:rsid w:val="7F402117"/>
    <w:rsid w:val="7F4A5722"/>
    <w:rsid w:val="7F52152E"/>
    <w:rsid w:val="7F5E434B"/>
    <w:rsid w:val="7F643651"/>
    <w:rsid w:val="7F791185"/>
    <w:rsid w:val="7F7C6A0B"/>
    <w:rsid w:val="7F932247"/>
    <w:rsid w:val="7F985AAF"/>
    <w:rsid w:val="7FA206DC"/>
    <w:rsid w:val="7FA57C36"/>
    <w:rsid w:val="7FB4553D"/>
    <w:rsid w:val="7FB56661"/>
    <w:rsid w:val="7FBA5A25"/>
    <w:rsid w:val="7FCA378E"/>
    <w:rsid w:val="7FD14B1D"/>
    <w:rsid w:val="7FD840FD"/>
    <w:rsid w:val="7FEB5C37"/>
    <w:rsid w:val="7FF01447"/>
    <w:rsid w:val="7FF411DF"/>
    <w:rsid w:val="7FF8479F"/>
    <w:rsid w:val="7FFF0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sz w:val="21"/>
      <w:szCs w:val="21"/>
      <w:lang w:val="en-US" w:eastAsia="zh-CN" w:bidi="ar-SA"/>
    </w:rPr>
  </w:style>
  <w:style w:type="paragraph" w:styleId="2">
    <w:name w:val="heading 1"/>
    <w:basedOn w:val="3"/>
    <w:next w:val="1"/>
    <w:link w:val="68"/>
    <w:qFormat/>
    <w:uiPriority w:val="99"/>
    <w:pPr>
      <w:keepNext/>
      <w:keepLines/>
      <w:tabs>
        <w:tab w:val="left" w:pos="851"/>
      </w:tabs>
      <w:spacing w:before="340" w:after="330" w:line="576" w:lineRule="auto"/>
      <w:outlineLvl w:val="0"/>
    </w:pPr>
    <w:rPr>
      <w:kern w:val="44"/>
      <w:sz w:val="44"/>
      <w:szCs w:val="44"/>
    </w:rPr>
  </w:style>
  <w:style w:type="paragraph" w:styleId="4">
    <w:name w:val="heading 2"/>
    <w:basedOn w:val="1"/>
    <w:next w:val="1"/>
    <w:qFormat/>
    <w:uiPriority w:val="0"/>
    <w:pPr>
      <w:keepNext/>
      <w:keepLines/>
      <w:adjustRightInd w:val="0"/>
      <w:snapToGrid w:val="0"/>
      <w:spacing w:line="360" w:lineRule="auto"/>
      <w:jc w:val="center"/>
      <w:outlineLvl w:val="1"/>
    </w:pPr>
    <w:rPr>
      <w:rFonts w:ascii="宋体" w:hAnsi="Arial"/>
      <w:sz w:val="32"/>
      <w:szCs w:val="32"/>
    </w:rPr>
  </w:style>
  <w:style w:type="paragraph" w:styleId="3">
    <w:name w:val="heading 3"/>
    <w:basedOn w:val="1"/>
    <w:next w:val="1"/>
    <w:qFormat/>
    <w:uiPriority w:val="99"/>
    <w:pPr>
      <w:widowControl w:val="0"/>
      <w:tabs>
        <w:tab w:val="left" w:pos="851"/>
      </w:tabs>
      <w:autoSpaceDE w:val="0"/>
      <w:autoSpaceDN w:val="0"/>
      <w:adjustRightInd w:val="0"/>
      <w:snapToGrid w:val="0"/>
      <w:spacing w:line="360" w:lineRule="auto"/>
      <w:jc w:val="both"/>
      <w:outlineLvl w:val="2"/>
    </w:pPr>
    <w:rPr>
      <w:b/>
      <w:bCs/>
      <w:sz w:val="32"/>
      <w:szCs w:val="32"/>
    </w:rPr>
  </w:style>
  <w:style w:type="paragraph" w:styleId="5">
    <w:name w:val="heading 4"/>
    <w:basedOn w:val="1"/>
    <w:next w:val="1"/>
    <w:autoRedefine/>
    <w:qFormat/>
    <w:uiPriority w:val="0"/>
    <w:pPr>
      <w:widowControl w:val="0"/>
      <w:tabs>
        <w:tab w:val="left" w:pos="851"/>
      </w:tabs>
      <w:autoSpaceDE w:val="0"/>
      <w:autoSpaceDN w:val="0"/>
      <w:adjustRightInd w:val="0"/>
      <w:snapToGrid w:val="0"/>
      <w:spacing w:line="360" w:lineRule="auto"/>
      <w:jc w:val="both"/>
      <w:outlineLvl w:val="3"/>
    </w:pPr>
    <w:rPr>
      <w:rFonts w:ascii="宋体" w:hAnsi="Arial"/>
      <w:color w:val="000000"/>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6">
    <w:name w:val="Normal Indent"/>
    <w:basedOn w:val="1"/>
    <w:next w:val="1"/>
    <w:autoRedefine/>
    <w:qFormat/>
    <w:uiPriority w:val="99"/>
    <w:pPr>
      <w:ind w:firstLine="420"/>
    </w:pPr>
  </w:style>
  <w:style w:type="paragraph" w:styleId="7">
    <w:name w:val="caption"/>
    <w:basedOn w:val="1"/>
    <w:next w:val="1"/>
    <w:qFormat/>
    <w:uiPriority w:val="0"/>
    <w:rPr>
      <w:rFonts w:ascii="Cambria" w:hAnsi="Cambria" w:eastAsia="黑体" w:cs="Cambria"/>
      <w:sz w:val="20"/>
      <w:szCs w:val="20"/>
    </w:rPr>
  </w:style>
  <w:style w:type="paragraph" w:styleId="8">
    <w:name w:val="annotation text"/>
    <w:basedOn w:val="1"/>
    <w:link w:val="51"/>
    <w:qFormat/>
    <w:uiPriority w:val="99"/>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9">
    <w:name w:val="Body Text 3"/>
    <w:basedOn w:val="1"/>
    <w:qFormat/>
    <w:uiPriority w:val="99"/>
    <w:pPr>
      <w:spacing w:after="120"/>
    </w:pPr>
    <w:rPr>
      <w:sz w:val="16"/>
      <w:szCs w:val="16"/>
    </w:rPr>
  </w:style>
  <w:style w:type="paragraph" w:styleId="10">
    <w:name w:val="Body Text"/>
    <w:basedOn w:val="1"/>
    <w:next w:val="1"/>
    <w:autoRedefine/>
    <w:qFormat/>
    <w:uiPriority w:val="0"/>
    <w:pPr>
      <w:spacing w:after="120"/>
    </w:pPr>
  </w:style>
  <w:style w:type="paragraph" w:styleId="11">
    <w:name w:val="Body Text Indent"/>
    <w:basedOn w:val="1"/>
    <w:qFormat/>
    <w:uiPriority w:val="99"/>
    <w:pPr>
      <w:spacing w:after="120"/>
      <w:ind w:left="420" w:leftChars="200"/>
    </w:pPr>
  </w:style>
  <w:style w:type="paragraph" w:styleId="12">
    <w:name w:val="Plain Text"/>
    <w:basedOn w:val="1"/>
    <w:autoRedefine/>
    <w:qFormat/>
    <w:uiPriority w:val="0"/>
    <w:rPr>
      <w:rFonts w:ascii="宋体" w:hAnsi="Courier New"/>
    </w:rPr>
  </w:style>
  <w:style w:type="paragraph" w:styleId="13">
    <w:name w:val="Body Text Indent 2"/>
    <w:basedOn w:val="1"/>
    <w:autoRedefine/>
    <w:qFormat/>
    <w:uiPriority w:val="0"/>
    <w:pPr>
      <w:spacing w:after="120" w:line="480" w:lineRule="auto"/>
      <w:ind w:left="420" w:leftChars="200"/>
    </w:pPr>
  </w:style>
  <w:style w:type="paragraph" w:styleId="14">
    <w:name w:val="Balloon Text"/>
    <w:basedOn w:val="1"/>
    <w:link w:val="50"/>
    <w:qFormat/>
    <w:uiPriority w:val="0"/>
    <w:rPr>
      <w:sz w:val="18"/>
      <w:szCs w:val="18"/>
    </w:rPr>
  </w:style>
  <w:style w:type="paragraph" w:styleId="15">
    <w:name w:val="footer"/>
    <w:basedOn w:val="1"/>
    <w:autoRedefine/>
    <w:qFormat/>
    <w:uiPriority w:val="99"/>
    <w:pPr>
      <w:tabs>
        <w:tab w:val="center" w:pos="4153"/>
        <w:tab w:val="right" w:pos="8306"/>
      </w:tabs>
      <w:snapToGrid w:val="0"/>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toc 2"/>
    <w:basedOn w:val="1"/>
    <w:next w:val="1"/>
    <w:qFormat/>
    <w:uiPriority w:val="39"/>
    <w:pPr>
      <w:tabs>
        <w:tab w:val="right" w:leader="dot" w:pos="9402"/>
      </w:tabs>
      <w:spacing w:line="360" w:lineRule="auto"/>
      <w:ind w:left="993" w:leftChars="202" w:hanging="569" w:hangingChars="237"/>
    </w:pPr>
  </w:style>
  <w:style w:type="paragraph" w:styleId="19">
    <w:name w:val="Normal (Web)"/>
    <w:basedOn w:val="1"/>
    <w:qFormat/>
    <w:uiPriority w:val="99"/>
    <w:pPr>
      <w:spacing w:before="100" w:beforeAutospacing="1" w:after="100" w:afterAutospacing="1"/>
    </w:pPr>
    <w:rPr>
      <w:rFonts w:ascii="宋体" w:hAnsi="宋体" w:cs="宋体"/>
      <w:sz w:val="24"/>
      <w:szCs w:val="24"/>
    </w:rPr>
  </w:style>
  <w:style w:type="paragraph" w:styleId="20">
    <w:name w:val="Title"/>
    <w:basedOn w:val="1"/>
    <w:next w:val="1"/>
    <w:autoRedefine/>
    <w:qFormat/>
    <w:uiPriority w:val="10"/>
    <w:pPr>
      <w:spacing w:line="240" w:lineRule="atLeast"/>
      <w:jc w:val="center"/>
      <w:outlineLvl w:val="0"/>
    </w:pPr>
    <w:rPr>
      <w:rFonts w:hAnsi="Cambria"/>
      <w:bCs/>
      <w:szCs w:val="32"/>
    </w:rPr>
  </w:style>
  <w:style w:type="paragraph" w:styleId="21">
    <w:name w:val="annotation subject"/>
    <w:basedOn w:val="8"/>
    <w:next w:val="8"/>
    <w:link w:val="52"/>
    <w:qFormat/>
    <w:uiPriority w:val="0"/>
    <w:rPr>
      <w:b/>
      <w:bCs/>
    </w:rPr>
  </w:style>
  <w:style w:type="paragraph" w:styleId="22">
    <w:name w:val="Body Text First Indent"/>
    <w:basedOn w:val="10"/>
    <w:qFormat/>
    <w:uiPriority w:val="0"/>
    <w:pPr>
      <w:widowControl w:val="0"/>
      <w:ind w:firstLine="420" w:firstLineChars="100"/>
      <w:jc w:val="both"/>
    </w:pPr>
    <w:rPr>
      <w:kern w:val="2"/>
      <w:szCs w:val="24"/>
    </w:rPr>
  </w:style>
  <w:style w:type="paragraph" w:styleId="23">
    <w:name w:val="Body Text First Indent 2"/>
    <w:basedOn w:val="11"/>
    <w:autoRedefine/>
    <w:qFormat/>
    <w:uiPriority w:val="0"/>
    <w:pPr>
      <w:spacing w:after="0" w:line="400" w:lineRule="exact"/>
      <w:ind w:left="0" w:leftChars="0" w:firstLine="420" w:firstLineChars="200"/>
    </w:pPr>
    <w:rPr>
      <w:rFonts w:eastAsia="仿宋"/>
      <w:sz w:val="28"/>
    </w:rPr>
  </w:style>
  <w:style w:type="table" w:styleId="25">
    <w:name w:val="Table Grid"/>
    <w:basedOn w:val="2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7">
    <w:name w:val="Strong"/>
    <w:basedOn w:val="26"/>
    <w:qFormat/>
    <w:uiPriority w:val="22"/>
    <w:rPr>
      <w:b/>
      <w:bCs/>
    </w:rPr>
  </w:style>
  <w:style w:type="character" w:styleId="28">
    <w:name w:val="page number"/>
    <w:basedOn w:val="26"/>
    <w:qFormat/>
    <w:uiPriority w:val="0"/>
  </w:style>
  <w:style w:type="character" w:styleId="29">
    <w:name w:val="FollowedHyperlink"/>
    <w:basedOn w:val="26"/>
    <w:qFormat/>
    <w:uiPriority w:val="0"/>
    <w:rPr>
      <w:color w:val="771CAA"/>
      <w:u w:val="none"/>
    </w:rPr>
  </w:style>
  <w:style w:type="character" w:styleId="30">
    <w:name w:val="Emphasis"/>
    <w:basedOn w:val="26"/>
    <w:qFormat/>
    <w:uiPriority w:val="0"/>
    <w:rPr>
      <w:color w:val="F73131"/>
    </w:rPr>
  </w:style>
  <w:style w:type="character" w:styleId="31">
    <w:name w:val="Hyperlink"/>
    <w:basedOn w:val="26"/>
    <w:qFormat/>
    <w:uiPriority w:val="0"/>
    <w:rPr>
      <w:color w:val="0000FF"/>
      <w:u w:val="single"/>
    </w:rPr>
  </w:style>
  <w:style w:type="character" w:styleId="32">
    <w:name w:val="annotation reference"/>
    <w:qFormat/>
    <w:uiPriority w:val="0"/>
    <w:rPr>
      <w:sz w:val="21"/>
      <w:szCs w:val="21"/>
    </w:rPr>
  </w:style>
  <w:style w:type="character" w:styleId="33">
    <w:name w:val="HTML Cite"/>
    <w:basedOn w:val="26"/>
    <w:qFormat/>
    <w:uiPriority w:val="0"/>
    <w:rPr>
      <w:color w:val="008000"/>
    </w:rPr>
  </w:style>
  <w:style w:type="paragraph" w:customStyle="1" w:styleId="34">
    <w:name w:val="_Style 3"/>
    <w:unhideWhenUsed/>
    <w:qFormat/>
    <w:uiPriority w:val="0"/>
    <w:pPr>
      <w:widowControl w:val="0"/>
      <w:jc w:val="both"/>
    </w:pPr>
    <w:rPr>
      <w:rFonts w:hint="eastAsia" w:ascii="Calibri" w:hAnsi="Calibri" w:eastAsia="Calibri" w:cs="Times New Roman"/>
      <w:kern w:val="2"/>
      <w:sz w:val="21"/>
      <w:lang w:val="en-US" w:eastAsia="zh-CN" w:bidi="ar-SA"/>
    </w:rPr>
  </w:style>
  <w:style w:type="paragraph" w:customStyle="1" w:styleId="35">
    <w:name w:val="表头"/>
    <w:basedOn w:val="7"/>
    <w:qFormat/>
    <w:uiPriority w:val="0"/>
    <w:pPr>
      <w:keepNext/>
      <w:keepLines/>
      <w:spacing w:before="120" w:after="120" w:line="300" w:lineRule="auto"/>
      <w:jc w:val="center"/>
      <w:textAlignment w:val="baseline"/>
    </w:pPr>
    <w:rPr>
      <w:rFonts w:ascii="Arial" w:hAnsi="Arial" w:cs="Arial"/>
      <w:sz w:val="21"/>
      <w:szCs w:val="21"/>
    </w:rPr>
  </w:style>
  <w:style w:type="paragraph" w:customStyle="1" w:styleId="36">
    <w:name w:val="图"/>
    <w:basedOn w:val="1"/>
    <w:qFormat/>
    <w:uiPriority w:val="0"/>
    <w:pPr>
      <w:keepNext/>
      <w:widowControl w:val="0"/>
      <w:adjustRightInd w:val="0"/>
      <w:spacing w:before="60" w:after="60" w:line="300" w:lineRule="auto"/>
      <w:jc w:val="center"/>
      <w:textAlignment w:val="center"/>
    </w:pPr>
    <w:rPr>
      <w:spacing w:val="20"/>
      <w:sz w:val="24"/>
      <w:szCs w:val="24"/>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styleId="39">
    <w:name w:val="List Paragraph"/>
    <w:basedOn w:val="1"/>
    <w:qFormat/>
    <w:uiPriority w:val="99"/>
    <w:pPr>
      <w:ind w:firstLine="420" w:firstLineChars="200"/>
    </w:pPr>
  </w:style>
  <w:style w:type="character" w:customStyle="1" w:styleId="40">
    <w:name w:val="hover28"/>
    <w:basedOn w:val="26"/>
    <w:qFormat/>
    <w:uiPriority w:val="0"/>
    <w:rPr>
      <w:color w:val="315EFB"/>
    </w:rPr>
  </w:style>
  <w:style w:type="character" w:customStyle="1" w:styleId="41">
    <w:name w:val="hover29"/>
    <w:basedOn w:val="26"/>
    <w:qFormat/>
    <w:uiPriority w:val="0"/>
  </w:style>
  <w:style w:type="character" w:customStyle="1" w:styleId="42">
    <w:name w:val="hover30"/>
    <w:basedOn w:val="26"/>
    <w:qFormat/>
    <w:uiPriority w:val="0"/>
    <w:rPr>
      <w:color w:val="315EFB"/>
    </w:rPr>
  </w:style>
  <w:style w:type="character" w:customStyle="1" w:styleId="43">
    <w:name w:val="c-icon28"/>
    <w:basedOn w:val="26"/>
    <w:qFormat/>
    <w:uiPriority w:val="0"/>
  </w:style>
  <w:style w:type="character" w:customStyle="1" w:styleId="44">
    <w:name w:val="content-right_8zs401"/>
    <w:basedOn w:val="26"/>
    <w:qFormat/>
    <w:uiPriority w:val="0"/>
  </w:style>
  <w:style w:type="paragraph" w:customStyle="1" w:styleId="45">
    <w:name w:val="正文文本首行缩进 21"/>
    <w:basedOn w:val="46"/>
    <w:qFormat/>
    <w:uiPriority w:val="0"/>
    <w:pPr>
      <w:ind w:firstLine="420" w:firstLineChars="200"/>
    </w:pPr>
  </w:style>
  <w:style w:type="paragraph" w:customStyle="1" w:styleId="46">
    <w:name w:val="正文文本缩进1"/>
    <w:basedOn w:val="1"/>
    <w:next w:val="47"/>
    <w:qFormat/>
    <w:uiPriority w:val="0"/>
    <w:pPr>
      <w:spacing w:after="120"/>
      <w:ind w:left="200" w:leftChars="200"/>
    </w:pPr>
  </w:style>
  <w:style w:type="paragraph" w:customStyle="1" w:styleId="47">
    <w:name w:val="font5"/>
    <w:basedOn w:val="1"/>
    <w:qFormat/>
    <w:uiPriority w:val="0"/>
    <w:pPr>
      <w:spacing w:before="100" w:beforeAutospacing="1" w:after="100" w:afterAutospacing="1"/>
    </w:pPr>
    <w:rPr>
      <w:rFonts w:ascii="宋体" w:hAnsi="宋体" w:cs="宋体"/>
      <w:sz w:val="18"/>
      <w:szCs w:val="18"/>
    </w:rPr>
  </w:style>
  <w:style w:type="paragraph" w:customStyle="1" w:styleId="48">
    <w:name w:val="null3"/>
    <w:qFormat/>
    <w:uiPriority w:val="0"/>
    <w:rPr>
      <w:rFonts w:hint="eastAsia" w:ascii="Calibri" w:hAnsi="Calibri" w:eastAsia="宋体" w:cs="Times New Roman"/>
      <w:lang w:val="en-US" w:eastAsia="zh-CN" w:bidi="ar-SA"/>
    </w:rPr>
  </w:style>
  <w:style w:type="character" w:customStyle="1" w:styleId="49">
    <w:name w:val="font21"/>
    <w:basedOn w:val="26"/>
    <w:qFormat/>
    <w:uiPriority w:val="0"/>
    <w:rPr>
      <w:rFonts w:hint="eastAsia" w:ascii="宋体" w:hAnsi="宋体" w:eastAsia="宋体" w:cs="宋体"/>
      <w:color w:val="0000FF"/>
      <w:sz w:val="21"/>
      <w:szCs w:val="21"/>
      <w:u w:val="none"/>
    </w:rPr>
  </w:style>
  <w:style w:type="character" w:customStyle="1" w:styleId="50">
    <w:name w:val="批注框文本 Char"/>
    <w:basedOn w:val="26"/>
    <w:link w:val="14"/>
    <w:qFormat/>
    <w:uiPriority w:val="0"/>
    <w:rPr>
      <w:rFonts w:ascii="Calibri" w:hAnsi="Calibri"/>
      <w:sz w:val="18"/>
      <w:szCs w:val="18"/>
    </w:rPr>
  </w:style>
  <w:style w:type="character" w:customStyle="1" w:styleId="51">
    <w:name w:val="批注文字 Char"/>
    <w:basedOn w:val="26"/>
    <w:link w:val="8"/>
    <w:qFormat/>
    <w:uiPriority w:val="99"/>
    <w:rPr>
      <w:rFonts w:ascii="Calibri" w:hAnsi="Calibri"/>
      <w:sz w:val="21"/>
      <w:szCs w:val="21"/>
    </w:rPr>
  </w:style>
  <w:style w:type="character" w:customStyle="1" w:styleId="52">
    <w:name w:val="批注主题 Char"/>
    <w:basedOn w:val="51"/>
    <w:link w:val="21"/>
    <w:qFormat/>
    <w:uiPriority w:val="0"/>
    <w:rPr>
      <w:rFonts w:ascii="Calibri" w:hAnsi="Calibri"/>
      <w:b/>
      <w:bCs/>
      <w:sz w:val="21"/>
      <w:szCs w:val="21"/>
    </w:rPr>
  </w:style>
  <w:style w:type="paragraph" w:customStyle="1" w:styleId="53">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4">
    <w:name w:val="正文缩进_0"/>
    <w:basedOn w:val="53"/>
    <w:qFormat/>
    <w:uiPriority w:val="0"/>
    <w:pPr>
      <w:autoSpaceDE w:val="0"/>
      <w:autoSpaceDN w:val="0"/>
      <w:spacing w:line="360" w:lineRule="auto"/>
      <w:ind w:left="181" w:firstLine="420"/>
    </w:pPr>
    <w:rPr>
      <w:rFonts w:ascii="Helvetica" w:hAnsi="Helvetica" w:cs="Helvetica"/>
      <w:kern w:val="0"/>
      <w:sz w:val="24"/>
    </w:rPr>
  </w:style>
  <w:style w:type="paragraph" w:customStyle="1" w:styleId="55">
    <w:name w:val="Table Text"/>
    <w:basedOn w:val="1"/>
    <w:semiHidden/>
    <w:qFormat/>
    <w:uiPriority w:val="0"/>
    <w:rPr>
      <w:rFonts w:ascii="宋体" w:hAnsi="宋体" w:cs="宋体"/>
      <w:sz w:val="20"/>
      <w:szCs w:val="20"/>
      <w:lang w:eastAsia="en-US"/>
    </w:rPr>
  </w:style>
  <w:style w:type="paragraph" w:customStyle="1" w:styleId="56">
    <w:name w:val="Default"/>
    <w:autoRedefine/>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57">
    <w:name w:val="正文1"/>
    <w:qFormat/>
    <w:uiPriority w:val="0"/>
    <w:pPr>
      <w:jc w:val="both"/>
    </w:pPr>
    <w:rPr>
      <w:rFonts w:ascii="Calibri" w:hAnsi="Calibri" w:eastAsia="宋体" w:cs="宋体"/>
      <w:kern w:val="2"/>
      <w:sz w:val="21"/>
      <w:szCs w:val="21"/>
      <w:lang w:val="en-US" w:eastAsia="zh-CN" w:bidi="ar-SA"/>
    </w:rPr>
  </w:style>
  <w:style w:type="paragraph" w:customStyle="1" w:styleId="58">
    <w:name w:val="正文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9">
    <w:name w:val="正文_0_1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0">
    <w:name w:val="正文_2_0_0"/>
    <w:basedOn w:val="53"/>
    <w:qFormat/>
    <w:uiPriority w:val="0"/>
    <w:rPr>
      <w:rFonts w:cs="宋体"/>
      <w:szCs w:val="21"/>
    </w:rPr>
  </w:style>
  <w:style w:type="paragraph" w:customStyle="1" w:styleId="61">
    <w:name w:val="正文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2">
    <w:name w:val="修订1"/>
    <w:hidden/>
    <w:unhideWhenUsed/>
    <w:qFormat/>
    <w:uiPriority w:val="99"/>
    <w:rPr>
      <w:rFonts w:ascii="Calibri" w:hAnsi="Calibri" w:eastAsia="宋体" w:cs="Times New Roman"/>
      <w:sz w:val="21"/>
      <w:szCs w:val="21"/>
      <w:lang w:val="en-US" w:eastAsia="zh-CN" w:bidi="ar-SA"/>
    </w:rPr>
  </w:style>
  <w:style w:type="table" w:customStyle="1" w:styleId="63">
    <w:name w:val="Table Normal"/>
    <w:semiHidden/>
    <w:unhideWhenUsed/>
    <w:qFormat/>
    <w:uiPriority w:val="0"/>
    <w:tblPr>
      <w:tblCellMar>
        <w:top w:w="0" w:type="dxa"/>
        <w:left w:w="0" w:type="dxa"/>
        <w:bottom w:w="0" w:type="dxa"/>
        <w:right w:w="0" w:type="dxa"/>
      </w:tblCellMar>
    </w:tblPr>
  </w:style>
  <w:style w:type="paragraph" w:customStyle="1" w:styleId="64">
    <w:name w:val="正文_0_0"/>
    <w:qFormat/>
    <w:uiPriority w:val="0"/>
    <w:rPr>
      <w:rFonts w:ascii="Times New Roman" w:hAnsi="Times New Roman" w:eastAsia="宋体" w:cs="Times New Roman"/>
      <w:lang w:val="en-US" w:eastAsia="zh-CN" w:bidi="ar-SA"/>
    </w:rPr>
  </w:style>
  <w:style w:type="character" w:customStyle="1" w:styleId="65">
    <w:name w:val="font71"/>
    <w:basedOn w:val="26"/>
    <w:qFormat/>
    <w:uiPriority w:val="0"/>
    <w:rPr>
      <w:rFonts w:hint="eastAsia" w:ascii="宋体" w:hAnsi="宋体" w:eastAsia="宋体" w:cs="宋体"/>
      <w:b/>
      <w:bCs/>
      <w:color w:val="000000"/>
      <w:sz w:val="28"/>
      <w:szCs w:val="28"/>
      <w:u w:val="single"/>
    </w:rPr>
  </w:style>
  <w:style w:type="character" w:customStyle="1" w:styleId="66">
    <w:name w:val="font31"/>
    <w:basedOn w:val="26"/>
    <w:qFormat/>
    <w:uiPriority w:val="0"/>
    <w:rPr>
      <w:rFonts w:hint="eastAsia" w:ascii="宋体" w:hAnsi="宋体" w:eastAsia="宋体" w:cs="宋体"/>
      <w:b/>
      <w:bCs/>
      <w:color w:val="000000"/>
      <w:sz w:val="28"/>
      <w:szCs w:val="28"/>
      <w:u w:val="none"/>
    </w:rPr>
  </w:style>
  <w:style w:type="paragraph" w:customStyle="1" w:styleId="67">
    <w:name w:val="Table Paragraph"/>
    <w:basedOn w:val="1"/>
    <w:autoRedefine/>
    <w:qFormat/>
    <w:uiPriority w:val="1"/>
    <w:pPr>
      <w:autoSpaceDE w:val="0"/>
      <w:autoSpaceDN w:val="0"/>
      <w:adjustRightInd w:val="0"/>
      <w:jc w:val="left"/>
    </w:pPr>
    <w:rPr>
      <w:rFonts w:ascii="宋体" w:hAnsi="Times New Roman" w:cs="宋体"/>
      <w:kern w:val="0"/>
      <w:sz w:val="24"/>
    </w:rPr>
  </w:style>
  <w:style w:type="character" w:customStyle="1" w:styleId="68">
    <w:name w:val="标题 1 Char1"/>
    <w:basedOn w:val="26"/>
    <w:link w:val="2"/>
    <w:qFormat/>
    <w:uiPriority w:val="0"/>
    <w:rPr>
      <w:rFonts w:hint="default" w:ascii="Calibri" w:hAnsi="Calibri" w:eastAsia="宋体" w:cs="Calibri"/>
      <w:b/>
      <w:bCs/>
      <w:kern w:val="44"/>
      <w:sz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65</Pages>
  <Words>17226</Words>
  <Characters>17896</Characters>
  <Lines>454</Lines>
  <Paragraphs>128</Paragraphs>
  <TotalTime>7</TotalTime>
  <ScaleCrop>false</ScaleCrop>
  <LinksUpToDate>false</LinksUpToDate>
  <CharactersWithSpaces>18019</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2024-07-11T06:15:00Z</dcterms:created>
  <dc:creator>黄</dc:creator>
  <cp:lastModifiedBy>采购中心</cp:lastModifiedBy>
  <cp:lastPrinted>2026-03-30T04:01:00Z</cp:lastPrinted>
  <dcterms:modified xsi:type="dcterms:W3CDTF">2026-04-29T01:41:39Z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6CA3F38866064DE7B163BAB795ECB380_13</vt:lpwstr>
  </property>
  <property fmtid="{D5CDD505-2E9C-101B-9397-08002B2CF9AE}" pid="4" name="KSOTemplateDocerSaveRecord">
    <vt:lpwstr>eyJoZGlkIjoiMzkyZGU3ZGFjNDUyMDAzZDY0ODdhNDc1Y2ZhYWVhZTkiLCJ1c2VySWQiOiIyNjU1NTYxOTQifQ==</vt:lpwstr>
  </property>
</Properties>
</file>